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BC4" w:rsidRPr="0047441E" w:rsidRDefault="00894DBC">
      <w:pPr>
        <w:rPr>
          <w:rFonts w:ascii="Arial" w:hAnsi="Arial" w:cs="Arial"/>
          <w:sz w:val="20"/>
          <w:szCs w:val="20"/>
        </w:rPr>
      </w:pPr>
      <w:r>
        <w:rPr>
          <w:rFonts w:ascii="Arial" w:hAnsi="Arial" w:cs="Arial"/>
          <w:sz w:val="20"/>
          <w:szCs w:val="20"/>
        </w:rPr>
        <w:t xml:space="preserve">Betreft: </w:t>
      </w:r>
      <w:r w:rsidR="00687D50" w:rsidRPr="00894DBC">
        <w:rPr>
          <w:rFonts w:ascii="Arial" w:hAnsi="Arial" w:cs="Arial"/>
          <w:b/>
          <w:sz w:val="20"/>
          <w:szCs w:val="20"/>
        </w:rPr>
        <w:t>Addendum ICT Inkoopvoorwaarden voor leveringen en diensten Gemeente Amersfoort</w:t>
      </w:r>
      <w:r w:rsidR="00687D50" w:rsidRPr="0047441E">
        <w:rPr>
          <w:rFonts w:ascii="Arial" w:hAnsi="Arial" w:cs="Arial"/>
          <w:sz w:val="20"/>
          <w:szCs w:val="20"/>
        </w:rPr>
        <w:t xml:space="preserve">. </w:t>
      </w:r>
    </w:p>
    <w:p w:rsidR="00687D50" w:rsidRPr="0047441E" w:rsidRDefault="00687D50">
      <w:pPr>
        <w:rPr>
          <w:rFonts w:ascii="Arial" w:hAnsi="Arial" w:cs="Arial"/>
          <w:sz w:val="20"/>
          <w:szCs w:val="20"/>
        </w:rPr>
      </w:pPr>
    </w:p>
    <w:p w:rsidR="00687D50" w:rsidRPr="0047441E" w:rsidRDefault="00687D50">
      <w:pPr>
        <w:rPr>
          <w:rFonts w:ascii="Arial" w:hAnsi="Arial" w:cs="Arial"/>
          <w:sz w:val="20"/>
          <w:szCs w:val="20"/>
        </w:rPr>
      </w:pPr>
      <w:r w:rsidRPr="0047441E">
        <w:rPr>
          <w:rFonts w:ascii="Arial" w:hAnsi="Arial" w:cs="Arial"/>
          <w:sz w:val="20"/>
          <w:szCs w:val="20"/>
        </w:rPr>
        <w:t xml:space="preserve">Datum: </w:t>
      </w:r>
      <w:r w:rsidR="001F3A06">
        <w:rPr>
          <w:rFonts w:ascii="Arial" w:hAnsi="Arial" w:cs="Arial"/>
          <w:sz w:val="20"/>
          <w:szCs w:val="20"/>
        </w:rPr>
        <w:t>2</w:t>
      </w:r>
      <w:r w:rsidR="00F63584">
        <w:rPr>
          <w:rFonts w:ascii="Arial" w:hAnsi="Arial" w:cs="Arial"/>
          <w:sz w:val="20"/>
          <w:szCs w:val="20"/>
        </w:rPr>
        <w:t>5</w:t>
      </w:r>
      <w:r w:rsidRPr="0047441E">
        <w:rPr>
          <w:rFonts w:ascii="Arial" w:hAnsi="Arial" w:cs="Arial"/>
          <w:sz w:val="20"/>
          <w:szCs w:val="20"/>
        </w:rPr>
        <w:t xml:space="preserve"> juni 2018</w:t>
      </w:r>
    </w:p>
    <w:p w:rsidR="00687D50" w:rsidRDefault="00687D50">
      <w:pPr>
        <w:rPr>
          <w:rFonts w:ascii="Arial" w:hAnsi="Arial" w:cs="Arial"/>
          <w:sz w:val="20"/>
          <w:szCs w:val="20"/>
        </w:rPr>
      </w:pPr>
    </w:p>
    <w:p w:rsidR="00894DBC" w:rsidRPr="0047441E" w:rsidRDefault="00894DBC">
      <w:pPr>
        <w:rPr>
          <w:rFonts w:ascii="Arial" w:hAnsi="Arial" w:cs="Arial"/>
          <w:sz w:val="20"/>
          <w:szCs w:val="20"/>
        </w:rPr>
      </w:pPr>
      <w:r>
        <w:rPr>
          <w:rFonts w:ascii="Arial" w:hAnsi="Arial" w:cs="Arial"/>
          <w:sz w:val="20"/>
          <w:szCs w:val="20"/>
        </w:rPr>
        <w:t>Kenmerk: KG/ITDA/2018032</w:t>
      </w:r>
    </w:p>
    <w:p w:rsidR="00687D50" w:rsidRPr="0047441E" w:rsidRDefault="00687D50">
      <w:pPr>
        <w:rPr>
          <w:rFonts w:ascii="Arial" w:hAnsi="Arial" w:cs="Arial"/>
          <w:sz w:val="20"/>
          <w:szCs w:val="20"/>
        </w:rPr>
      </w:pPr>
    </w:p>
    <w:p w:rsidR="00687D50" w:rsidRPr="0047441E" w:rsidRDefault="00687D50">
      <w:pPr>
        <w:rPr>
          <w:rFonts w:ascii="Arial" w:hAnsi="Arial" w:cs="Arial"/>
          <w:sz w:val="20"/>
          <w:szCs w:val="20"/>
        </w:rPr>
      </w:pPr>
      <w:r w:rsidRPr="0047441E">
        <w:rPr>
          <w:rFonts w:ascii="Arial" w:hAnsi="Arial" w:cs="Arial"/>
          <w:sz w:val="20"/>
          <w:szCs w:val="20"/>
        </w:rPr>
        <w:t xml:space="preserve">Dit addendum van de gemeente Amersfoort, geeft aan in welke paragrafen zij afwijkt van </w:t>
      </w:r>
      <w:proofErr w:type="spellStart"/>
      <w:r w:rsidRPr="0047441E">
        <w:rPr>
          <w:rFonts w:ascii="Arial" w:hAnsi="Arial" w:cs="Arial"/>
          <w:sz w:val="20"/>
          <w:szCs w:val="20"/>
        </w:rPr>
        <w:t>danwel</w:t>
      </w:r>
      <w:proofErr w:type="spellEnd"/>
      <w:r w:rsidRPr="0047441E">
        <w:rPr>
          <w:rFonts w:ascii="Arial" w:hAnsi="Arial" w:cs="Arial"/>
          <w:sz w:val="20"/>
          <w:szCs w:val="20"/>
        </w:rPr>
        <w:t xml:space="preserve"> nader aanvult op de Gemeentelijke Inkoopvoorwaarden Bij IT (GIBIT). GIBIT is een model</w:t>
      </w:r>
      <w:r w:rsidR="00894DBC">
        <w:rPr>
          <w:rFonts w:ascii="Arial" w:hAnsi="Arial" w:cs="Arial"/>
          <w:sz w:val="20"/>
          <w:szCs w:val="20"/>
        </w:rPr>
        <w:t xml:space="preserve"> van</w:t>
      </w:r>
      <w:r w:rsidRPr="0047441E">
        <w:rPr>
          <w:rFonts w:ascii="Arial" w:hAnsi="Arial" w:cs="Arial"/>
          <w:sz w:val="20"/>
          <w:szCs w:val="20"/>
        </w:rPr>
        <w:t xml:space="preserve"> ICT inkoopvoorwaarden vastgesteld door de </w:t>
      </w:r>
      <w:r w:rsidR="00894DBC">
        <w:rPr>
          <w:rFonts w:ascii="Arial" w:hAnsi="Arial" w:cs="Arial"/>
          <w:sz w:val="20"/>
          <w:szCs w:val="20"/>
        </w:rPr>
        <w:t>Vereniging Nederlandse Gemeenten (VNG) op 8</w:t>
      </w:r>
      <w:r w:rsidRPr="0047441E">
        <w:rPr>
          <w:rFonts w:ascii="Arial" w:hAnsi="Arial" w:cs="Arial"/>
          <w:sz w:val="20"/>
          <w:szCs w:val="20"/>
        </w:rPr>
        <w:t xml:space="preserve"> december 2016.</w:t>
      </w:r>
    </w:p>
    <w:p w:rsidR="00687D50" w:rsidRPr="0047441E" w:rsidRDefault="00687D50">
      <w:pPr>
        <w:rPr>
          <w:rFonts w:ascii="Arial" w:hAnsi="Arial" w:cs="Arial"/>
          <w:sz w:val="20"/>
          <w:szCs w:val="20"/>
        </w:rPr>
      </w:pPr>
    </w:p>
    <w:tbl>
      <w:tblPr>
        <w:tblStyle w:val="Tabelraster"/>
        <w:tblW w:w="0" w:type="auto"/>
        <w:tblLook w:val="04A0" w:firstRow="1" w:lastRow="0" w:firstColumn="1" w:lastColumn="0" w:noHBand="0" w:noVBand="1"/>
      </w:tblPr>
      <w:tblGrid>
        <w:gridCol w:w="1838"/>
        <w:gridCol w:w="2268"/>
        <w:gridCol w:w="4956"/>
      </w:tblGrid>
      <w:tr w:rsidR="00984B1F" w:rsidRPr="0047441E" w:rsidTr="00894DBC">
        <w:tc>
          <w:tcPr>
            <w:tcW w:w="1838" w:type="dxa"/>
            <w:shd w:val="clear" w:color="auto" w:fill="AEAAAA" w:themeFill="background2" w:themeFillShade="BF"/>
          </w:tcPr>
          <w:p w:rsidR="00984B1F" w:rsidRPr="003042B1" w:rsidRDefault="00984B1F" w:rsidP="00984B1F">
            <w:pPr>
              <w:rPr>
                <w:rFonts w:ascii="Arial" w:hAnsi="Arial" w:cs="Arial"/>
                <w:b/>
                <w:sz w:val="20"/>
                <w:szCs w:val="20"/>
              </w:rPr>
            </w:pPr>
            <w:r w:rsidRPr="003042B1">
              <w:rPr>
                <w:rFonts w:ascii="Arial" w:hAnsi="Arial" w:cs="Arial"/>
                <w:b/>
                <w:sz w:val="20"/>
                <w:szCs w:val="20"/>
              </w:rPr>
              <w:t>Artikel</w:t>
            </w:r>
          </w:p>
        </w:tc>
        <w:tc>
          <w:tcPr>
            <w:tcW w:w="2268" w:type="dxa"/>
            <w:shd w:val="clear" w:color="auto" w:fill="AEAAAA" w:themeFill="background2" w:themeFillShade="BF"/>
          </w:tcPr>
          <w:p w:rsidR="00984B1F" w:rsidRPr="003042B1" w:rsidRDefault="00984B1F" w:rsidP="00984B1F">
            <w:pPr>
              <w:rPr>
                <w:rFonts w:ascii="Arial" w:hAnsi="Arial" w:cs="Arial"/>
                <w:b/>
                <w:sz w:val="20"/>
                <w:szCs w:val="20"/>
              </w:rPr>
            </w:pPr>
            <w:r w:rsidRPr="003042B1">
              <w:rPr>
                <w:rFonts w:ascii="Arial" w:hAnsi="Arial" w:cs="Arial"/>
                <w:b/>
                <w:sz w:val="20"/>
                <w:szCs w:val="20"/>
              </w:rPr>
              <w:t xml:space="preserve">Type </w:t>
            </w:r>
          </w:p>
          <w:p w:rsidR="00984B1F" w:rsidRPr="003042B1" w:rsidRDefault="00984B1F" w:rsidP="00984B1F">
            <w:pPr>
              <w:rPr>
                <w:rFonts w:ascii="Arial" w:hAnsi="Arial" w:cs="Arial"/>
                <w:b/>
                <w:sz w:val="20"/>
                <w:szCs w:val="20"/>
              </w:rPr>
            </w:pPr>
            <w:r w:rsidRPr="003042B1">
              <w:rPr>
                <w:rFonts w:ascii="Arial" w:hAnsi="Arial" w:cs="Arial"/>
                <w:b/>
                <w:sz w:val="20"/>
                <w:szCs w:val="20"/>
              </w:rPr>
              <w:t>(</w:t>
            </w:r>
            <w:r w:rsidR="00D76C73" w:rsidRPr="003042B1">
              <w:rPr>
                <w:rFonts w:ascii="Arial" w:hAnsi="Arial" w:cs="Arial"/>
                <w:b/>
                <w:sz w:val="20"/>
                <w:szCs w:val="20"/>
              </w:rPr>
              <w:t>Wijziging</w:t>
            </w:r>
            <w:r w:rsidRPr="003042B1">
              <w:rPr>
                <w:rFonts w:ascii="Arial" w:hAnsi="Arial" w:cs="Arial"/>
                <w:b/>
                <w:sz w:val="20"/>
                <w:szCs w:val="20"/>
              </w:rPr>
              <w:t>, Toevoeging, nieuw lid)</w:t>
            </w:r>
          </w:p>
        </w:tc>
        <w:tc>
          <w:tcPr>
            <w:tcW w:w="4956" w:type="dxa"/>
            <w:shd w:val="clear" w:color="auto" w:fill="AEAAAA" w:themeFill="background2" w:themeFillShade="BF"/>
          </w:tcPr>
          <w:p w:rsidR="00984B1F" w:rsidRPr="003042B1" w:rsidRDefault="00984B1F" w:rsidP="00984B1F">
            <w:pPr>
              <w:rPr>
                <w:rFonts w:ascii="Arial" w:hAnsi="Arial" w:cs="Arial"/>
                <w:b/>
                <w:sz w:val="20"/>
                <w:szCs w:val="20"/>
              </w:rPr>
            </w:pPr>
            <w:r w:rsidRPr="003042B1">
              <w:rPr>
                <w:rFonts w:ascii="Arial" w:hAnsi="Arial" w:cs="Arial"/>
                <w:b/>
                <w:sz w:val="20"/>
                <w:szCs w:val="20"/>
              </w:rPr>
              <w:t>Aanvulling / Wijziging</w:t>
            </w:r>
            <w:r w:rsidR="003042B1">
              <w:rPr>
                <w:rFonts w:ascii="Arial" w:hAnsi="Arial" w:cs="Arial"/>
                <w:b/>
                <w:sz w:val="20"/>
                <w:szCs w:val="20"/>
              </w:rPr>
              <w:t xml:space="preserve"> / Nieuw lid</w:t>
            </w:r>
            <w:r w:rsidRPr="003042B1">
              <w:rPr>
                <w:rFonts w:ascii="Arial" w:hAnsi="Arial" w:cs="Arial"/>
                <w:b/>
                <w:sz w:val="20"/>
                <w:szCs w:val="20"/>
              </w:rPr>
              <w:t xml:space="preserve"> op de GIBIT. </w:t>
            </w:r>
          </w:p>
        </w:tc>
      </w:tr>
      <w:tr w:rsidR="00984B1F" w:rsidRPr="003042B1" w:rsidTr="0047441E">
        <w:tc>
          <w:tcPr>
            <w:tcW w:w="1838" w:type="dxa"/>
          </w:tcPr>
          <w:p w:rsidR="00984B1F" w:rsidRPr="003042B1" w:rsidRDefault="00D76C73" w:rsidP="006A16D8">
            <w:r w:rsidRPr="003042B1">
              <w:t>1.11</w:t>
            </w:r>
          </w:p>
        </w:tc>
        <w:tc>
          <w:tcPr>
            <w:tcW w:w="2268" w:type="dxa"/>
          </w:tcPr>
          <w:p w:rsidR="00984B1F" w:rsidRPr="006A16D8" w:rsidRDefault="00D76C73" w:rsidP="006A16D8">
            <w:r w:rsidRPr="006A16D8">
              <w:t>Wijziging</w:t>
            </w:r>
          </w:p>
        </w:tc>
        <w:tc>
          <w:tcPr>
            <w:tcW w:w="4956" w:type="dxa"/>
          </w:tcPr>
          <w:p w:rsidR="00984B1F" w:rsidRPr="006A16D8" w:rsidRDefault="00D76C73" w:rsidP="006A16D8">
            <w:r w:rsidRPr="006A16D8">
              <w:t xml:space="preserve">Daar waar gelezen wordt KING, wordt bedoeld VNG Realisatie. </w:t>
            </w:r>
          </w:p>
        </w:tc>
      </w:tr>
      <w:tr w:rsidR="00984B1F" w:rsidRPr="003042B1" w:rsidTr="0047441E">
        <w:tc>
          <w:tcPr>
            <w:tcW w:w="1838" w:type="dxa"/>
          </w:tcPr>
          <w:p w:rsidR="00984B1F" w:rsidRPr="003042B1" w:rsidRDefault="00D217A5" w:rsidP="006A16D8">
            <w:r>
              <w:t>1.22</w:t>
            </w:r>
          </w:p>
        </w:tc>
        <w:tc>
          <w:tcPr>
            <w:tcW w:w="2268" w:type="dxa"/>
          </w:tcPr>
          <w:p w:rsidR="00984B1F" w:rsidRPr="006A16D8" w:rsidRDefault="00D217A5" w:rsidP="006A16D8">
            <w:r>
              <w:t>Wijziging</w:t>
            </w:r>
          </w:p>
        </w:tc>
        <w:tc>
          <w:tcPr>
            <w:tcW w:w="4956" w:type="dxa"/>
          </w:tcPr>
          <w:p w:rsidR="00984B1F" w:rsidRPr="006A16D8" w:rsidRDefault="00D217A5" w:rsidP="006A16D8">
            <w:r>
              <w:t>De Opdrachtgever is de gemeente Amersfoort</w:t>
            </w:r>
          </w:p>
        </w:tc>
      </w:tr>
      <w:tr w:rsidR="00D217A5" w:rsidRPr="003042B1" w:rsidTr="0047441E">
        <w:tc>
          <w:tcPr>
            <w:tcW w:w="1838" w:type="dxa"/>
          </w:tcPr>
          <w:p w:rsidR="00D217A5" w:rsidRPr="003042B1" w:rsidRDefault="00D217A5" w:rsidP="006A16D8">
            <w:r>
              <w:t>1.33</w:t>
            </w:r>
          </w:p>
        </w:tc>
        <w:tc>
          <w:tcPr>
            <w:tcW w:w="2268" w:type="dxa"/>
          </w:tcPr>
          <w:p w:rsidR="00D217A5" w:rsidRPr="006A16D8" w:rsidRDefault="00D217A5" w:rsidP="006A16D8">
            <w:r>
              <w:t>Toevoeging</w:t>
            </w:r>
          </w:p>
        </w:tc>
        <w:tc>
          <w:tcPr>
            <w:tcW w:w="4956" w:type="dxa"/>
          </w:tcPr>
          <w:p w:rsidR="00D217A5" w:rsidRPr="006A16D8" w:rsidRDefault="00D217A5" w:rsidP="006A16D8">
            <w:pPr>
              <w:rPr>
                <w:rFonts w:eastAsia="Arial"/>
                <w:color w:val="000000" w:themeColor="text1"/>
              </w:rPr>
            </w:pPr>
            <w:r>
              <w:rPr>
                <w:rFonts w:eastAsia="Arial"/>
                <w:color w:val="000000" w:themeColor="text1"/>
              </w:rPr>
              <w:t>Diensten: De door de Opdrachtnemer op basis van de overeenkomst ten behoeve van de opdrachtgever te verrichten werkzaamheden, niet zijnde leveringen en werken</w:t>
            </w:r>
          </w:p>
        </w:tc>
      </w:tr>
      <w:tr w:rsidR="00D217A5" w:rsidRPr="003042B1" w:rsidTr="0047441E">
        <w:tc>
          <w:tcPr>
            <w:tcW w:w="1838" w:type="dxa"/>
          </w:tcPr>
          <w:p w:rsidR="00D217A5" w:rsidRPr="003042B1" w:rsidRDefault="00D217A5" w:rsidP="006A16D8">
            <w:r>
              <w:t>1.34</w:t>
            </w:r>
          </w:p>
        </w:tc>
        <w:tc>
          <w:tcPr>
            <w:tcW w:w="2268" w:type="dxa"/>
          </w:tcPr>
          <w:p w:rsidR="00D217A5" w:rsidRPr="006A16D8" w:rsidRDefault="00D217A5" w:rsidP="006A16D8">
            <w:r>
              <w:t>Toevoeging</w:t>
            </w:r>
          </w:p>
        </w:tc>
        <w:tc>
          <w:tcPr>
            <w:tcW w:w="4956" w:type="dxa"/>
          </w:tcPr>
          <w:p w:rsidR="00D217A5" w:rsidRPr="006A16D8" w:rsidRDefault="00D217A5" w:rsidP="006A16D8">
            <w:pPr>
              <w:rPr>
                <w:rFonts w:eastAsia="Arial"/>
                <w:color w:val="000000" w:themeColor="text1"/>
              </w:rPr>
            </w:pPr>
            <w:r>
              <w:rPr>
                <w:rFonts w:eastAsia="Arial"/>
                <w:color w:val="000000" w:themeColor="text1"/>
              </w:rPr>
              <w:t>Goederen: Roerende zaken welke worden opgeleverd op grond van een overeenkomst tussen opdrachtgever en opdrachtnemer.</w:t>
            </w:r>
          </w:p>
        </w:tc>
      </w:tr>
      <w:tr w:rsidR="00D217A5" w:rsidRPr="003042B1" w:rsidTr="0047441E">
        <w:tc>
          <w:tcPr>
            <w:tcW w:w="1838" w:type="dxa"/>
          </w:tcPr>
          <w:p w:rsidR="00D217A5" w:rsidRPr="003042B1" w:rsidRDefault="00D217A5" w:rsidP="006A16D8">
            <w:r>
              <w:t>1.35</w:t>
            </w:r>
          </w:p>
        </w:tc>
        <w:tc>
          <w:tcPr>
            <w:tcW w:w="2268" w:type="dxa"/>
          </w:tcPr>
          <w:p w:rsidR="00D217A5" w:rsidRPr="006A16D8" w:rsidRDefault="00D217A5" w:rsidP="006A16D8">
            <w:r>
              <w:t>Toevoeging</w:t>
            </w:r>
          </w:p>
        </w:tc>
        <w:tc>
          <w:tcPr>
            <w:tcW w:w="4956" w:type="dxa"/>
          </w:tcPr>
          <w:p w:rsidR="00D217A5" w:rsidRDefault="00D217A5" w:rsidP="00D217A5">
            <w:pPr>
              <w:pStyle w:val="Bodytext20"/>
              <w:shd w:val="clear" w:color="auto" w:fill="auto"/>
              <w:spacing w:line="235" w:lineRule="exact"/>
              <w:ind w:firstLine="0"/>
              <w:jc w:val="left"/>
            </w:pPr>
            <w:r>
              <w:rPr>
                <w:rFonts w:eastAsia="Arial"/>
                <w:color w:val="000000" w:themeColor="text1"/>
              </w:rPr>
              <w:t>Leveringen: H</w:t>
            </w:r>
            <w:r>
              <w:t>et één of meerdere Goederen in bezit stellen van, respectievelijk in de macht brengen van de Opdrachtgever en de eventuele installatie/montage van deze Goederen.</w:t>
            </w:r>
          </w:p>
          <w:p w:rsidR="00D217A5" w:rsidRPr="006A16D8" w:rsidRDefault="00D217A5" w:rsidP="006A16D8">
            <w:pPr>
              <w:rPr>
                <w:rFonts w:eastAsia="Arial"/>
                <w:color w:val="000000" w:themeColor="text1"/>
              </w:rPr>
            </w:pPr>
          </w:p>
        </w:tc>
      </w:tr>
      <w:tr w:rsidR="00D217A5" w:rsidRPr="003042B1" w:rsidTr="0047441E">
        <w:tc>
          <w:tcPr>
            <w:tcW w:w="1838" w:type="dxa"/>
          </w:tcPr>
          <w:p w:rsidR="00D217A5" w:rsidRPr="003042B1" w:rsidRDefault="00D217A5" w:rsidP="00D217A5">
            <w:r w:rsidRPr="003042B1">
              <w:t>2.2</w:t>
            </w:r>
          </w:p>
        </w:tc>
        <w:tc>
          <w:tcPr>
            <w:tcW w:w="2268" w:type="dxa"/>
          </w:tcPr>
          <w:p w:rsidR="00D217A5" w:rsidRPr="006A16D8" w:rsidRDefault="00D217A5" w:rsidP="00D217A5">
            <w:r w:rsidRPr="006A16D8">
              <w:t>Toevoeging</w:t>
            </w:r>
          </w:p>
        </w:tc>
        <w:tc>
          <w:tcPr>
            <w:tcW w:w="4956" w:type="dxa"/>
          </w:tcPr>
          <w:p w:rsidR="00D54956" w:rsidRDefault="00D217A5" w:rsidP="00D217A5">
            <w:pPr>
              <w:rPr>
                <w:rFonts w:eastAsia="Arial"/>
                <w:color w:val="000000" w:themeColor="text1"/>
              </w:rPr>
            </w:pPr>
            <w:r w:rsidRPr="006A16D8">
              <w:rPr>
                <w:rFonts w:eastAsia="Arial"/>
                <w:color w:val="000000" w:themeColor="text1"/>
              </w:rPr>
              <w:t>Er word</w:t>
            </w:r>
            <w:r>
              <w:rPr>
                <w:rFonts w:eastAsia="Arial"/>
                <w:color w:val="000000" w:themeColor="text1"/>
              </w:rPr>
              <w:t>en twee</w:t>
            </w:r>
            <w:r w:rsidRPr="006A16D8">
              <w:rPr>
                <w:rFonts w:eastAsia="Arial"/>
                <w:color w:val="000000" w:themeColor="text1"/>
              </w:rPr>
              <w:t xml:space="preserve"> hoofdstuk</w:t>
            </w:r>
            <w:r>
              <w:rPr>
                <w:rFonts w:eastAsia="Arial"/>
                <w:color w:val="000000" w:themeColor="text1"/>
              </w:rPr>
              <w:t xml:space="preserve">ken </w:t>
            </w:r>
            <w:r w:rsidRPr="006A16D8">
              <w:rPr>
                <w:rFonts w:eastAsia="Arial"/>
                <w:color w:val="000000" w:themeColor="text1"/>
              </w:rPr>
              <w:t xml:space="preserve">toegevoegd: </w:t>
            </w:r>
          </w:p>
          <w:p w:rsidR="00D217A5" w:rsidRDefault="00D54956" w:rsidP="00D217A5">
            <w:pPr>
              <w:rPr>
                <w:rFonts w:eastAsia="Arial"/>
                <w:color w:val="000000" w:themeColor="text1"/>
              </w:rPr>
            </w:pPr>
            <w:r>
              <w:rPr>
                <w:rFonts w:eastAsia="Arial"/>
                <w:color w:val="000000" w:themeColor="text1"/>
              </w:rPr>
              <w:t xml:space="preserve">1.) </w:t>
            </w:r>
            <w:r w:rsidR="00D217A5" w:rsidRPr="00D54956">
              <w:rPr>
                <w:rFonts w:eastAsia="Arial"/>
                <w:b/>
                <w:color w:val="000000" w:themeColor="text1"/>
              </w:rPr>
              <w:t>Hoofdstuk IV</w:t>
            </w:r>
            <w:r w:rsidR="00D217A5" w:rsidRPr="006A16D8">
              <w:rPr>
                <w:rFonts w:eastAsia="Arial"/>
                <w:color w:val="000000" w:themeColor="text1"/>
              </w:rPr>
              <w:t xml:space="preserve"> inzake Maatschappelijk verantwoord ondernemen en duurzaamheid (Dat altijd van toepassing is).</w:t>
            </w:r>
          </w:p>
          <w:p w:rsidR="00D217A5" w:rsidRPr="006A16D8" w:rsidRDefault="00D54956" w:rsidP="00D217A5">
            <w:pPr>
              <w:rPr>
                <w:rFonts w:eastAsia="Arial"/>
                <w:color w:val="000000" w:themeColor="text1"/>
              </w:rPr>
            </w:pPr>
            <w:r>
              <w:rPr>
                <w:rFonts w:eastAsia="Arial"/>
                <w:color w:val="000000" w:themeColor="text1"/>
              </w:rPr>
              <w:t xml:space="preserve">2.) </w:t>
            </w:r>
            <w:r w:rsidR="00D217A5" w:rsidRPr="00D54956">
              <w:rPr>
                <w:rFonts w:eastAsia="Arial"/>
                <w:b/>
                <w:color w:val="000000" w:themeColor="text1"/>
              </w:rPr>
              <w:t>Hoofdstuk V</w:t>
            </w:r>
            <w:r w:rsidR="00D217A5">
              <w:rPr>
                <w:rFonts w:eastAsia="Arial"/>
                <w:color w:val="000000" w:themeColor="text1"/>
              </w:rPr>
              <w:t xml:space="preserve"> inzake leveringen (</w:t>
            </w:r>
            <w:r w:rsidR="00D217A5" w:rsidRPr="003042B1">
              <w:t>Aanvullingen alleen van toepassing voor specifiek betreffende leveringen</w:t>
            </w:r>
            <w:r w:rsidR="00D217A5">
              <w:t>)</w:t>
            </w:r>
            <w:r w:rsidR="00D217A5">
              <w:rPr>
                <w:rFonts w:eastAsia="Arial"/>
                <w:color w:val="000000" w:themeColor="text1"/>
              </w:rPr>
              <w:t xml:space="preserve"> </w:t>
            </w:r>
          </w:p>
          <w:p w:rsidR="00D217A5" w:rsidRPr="006A16D8" w:rsidRDefault="00D217A5" w:rsidP="00D217A5"/>
        </w:tc>
      </w:tr>
      <w:tr w:rsidR="00D217A5" w:rsidRPr="003042B1" w:rsidTr="0047441E">
        <w:tc>
          <w:tcPr>
            <w:tcW w:w="1838" w:type="dxa"/>
          </w:tcPr>
          <w:p w:rsidR="00D217A5" w:rsidRPr="003042B1" w:rsidRDefault="00D217A5" w:rsidP="00D217A5">
            <w:r w:rsidRPr="003042B1">
              <w:t>3.9</w:t>
            </w:r>
          </w:p>
        </w:tc>
        <w:tc>
          <w:tcPr>
            <w:tcW w:w="2268" w:type="dxa"/>
          </w:tcPr>
          <w:p w:rsidR="00D217A5" w:rsidRPr="006A16D8" w:rsidRDefault="00D217A5" w:rsidP="00D217A5">
            <w:r w:rsidRPr="006A16D8">
              <w:t>Nieuw lid</w:t>
            </w:r>
          </w:p>
        </w:tc>
        <w:tc>
          <w:tcPr>
            <w:tcW w:w="4956" w:type="dxa"/>
          </w:tcPr>
          <w:p w:rsidR="00D217A5" w:rsidRPr="006A16D8" w:rsidRDefault="00D217A5" w:rsidP="00D217A5">
            <w:r w:rsidRPr="006A16D8">
              <w:rPr>
                <w:color w:val="000000"/>
                <w:lang w:val="nl-BE" w:eastAsia="nl-BE" w:bidi="nl-BE"/>
              </w:rPr>
              <w:t>Het is de Opdrachtnemer (of zijn personeel) niet toegestaan Personeelsleden van de gemeente te bewegen tot prestaties, toezeggingen en dergelijke tegen enige vorm van beloning of gift aan dat Personeelslid, zonder welke beloning of gift de prestatie of de toezegging niet c.q. onder andere voorwaarden tot stand zou zijn gekomen.</w:t>
            </w:r>
          </w:p>
          <w:p w:rsidR="00D217A5" w:rsidRPr="006A16D8" w:rsidRDefault="00D217A5" w:rsidP="00D217A5"/>
        </w:tc>
      </w:tr>
      <w:tr w:rsidR="00D217A5" w:rsidRPr="003042B1" w:rsidTr="0047441E">
        <w:tc>
          <w:tcPr>
            <w:tcW w:w="1838" w:type="dxa"/>
          </w:tcPr>
          <w:p w:rsidR="00D217A5" w:rsidRPr="003042B1" w:rsidRDefault="00D217A5" w:rsidP="00D217A5">
            <w:r w:rsidRPr="003042B1">
              <w:lastRenderedPageBreak/>
              <w:t>4.5</w:t>
            </w:r>
          </w:p>
        </w:tc>
        <w:tc>
          <w:tcPr>
            <w:tcW w:w="2268" w:type="dxa"/>
          </w:tcPr>
          <w:p w:rsidR="00D217A5" w:rsidRPr="006A16D8" w:rsidRDefault="00D217A5" w:rsidP="00D217A5">
            <w:r w:rsidRPr="006A16D8">
              <w:t>Nieuw lid</w:t>
            </w:r>
          </w:p>
        </w:tc>
        <w:tc>
          <w:tcPr>
            <w:tcW w:w="4956" w:type="dxa"/>
          </w:tcPr>
          <w:p w:rsidR="00D217A5" w:rsidRPr="006A16D8" w:rsidRDefault="00D54956" w:rsidP="00D217A5">
            <w:pPr>
              <w:rPr>
                <w:color w:val="000000" w:themeColor="text1"/>
              </w:rPr>
            </w:pPr>
            <w:r>
              <w:rPr>
                <w:color w:val="000000" w:themeColor="text1"/>
              </w:rPr>
              <w:t>P</w:t>
            </w:r>
            <w:r w:rsidR="00D217A5" w:rsidRPr="006A16D8">
              <w:rPr>
                <w:color w:val="000000" w:themeColor="text1"/>
              </w:rPr>
              <w:t>artijen kunnen rechten en plichten uit hoofde van de overeenkomst slechts met voorafgaande schriftelijke toestemming van de andere partij geheel of gedeeltelijk overdragen aan een derde. Partijen zullen hun toestemming niet op onredelijke gronden weigeren en zijn gerechtigd aan deze toestemming voorwaarden te verbinden. Uitzondering is het bepaalde in 22.9</w:t>
            </w:r>
          </w:p>
          <w:p w:rsidR="00D217A5" w:rsidRPr="006A16D8" w:rsidRDefault="00D217A5" w:rsidP="00D217A5"/>
        </w:tc>
      </w:tr>
      <w:tr w:rsidR="00D217A5" w:rsidRPr="003042B1" w:rsidTr="0047441E">
        <w:tc>
          <w:tcPr>
            <w:tcW w:w="1838" w:type="dxa"/>
          </w:tcPr>
          <w:p w:rsidR="00D217A5" w:rsidRPr="003042B1" w:rsidRDefault="00D217A5" w:rsidP="00D217A5">
            <w:r w:rsidRPr="003042B1">
              <w:t>4.6</w:t>
            </w:r>
          </w:p>
        </w:tc>
        <w:tc>
          <w:tcPr>
            <w:tcW w:w="2268" w:type="dxa"/>
          </w:tcPr>
          <w:p w:rsidR="00D217A5" w:rsidRPr="006A16D8" w:rsidRDefault="00D217A5" w:rsidP="00D217A5">
            <w:r w:rsidRPr="006A16D8">
              <w:t>Nieuw lid</w:t>
            </w:r>
          </w:p>
        </w:tc>
        <w:tc>
          <w:tcPr>
            <w:tcW w:w="4956" w:type="dxa"/>
          </w:tcPr>
          <w:p w:rsidR="00D217A5" w:rsidRPr="006A16D8" w:rsidRDefault="00D217A5" w:rsidP="00D217A5">
            <w:r w:rsidRPr="006A16D8">
              <w:rPr>
                <w:color w:val="000000"/>
                <w:lang w:val="nl-BE" w:eastAsia="nl-BE" w:bidi="nl-BE"/>
              </w:rPr>
              <w:t>Indien de Opdrachtnemer voor de uitvoering van de Overeenkomst gebruik wil maken van diensten van derden, dan is hij daartoe pas bevoegd na verkregen schriftelijke toestemming van de Opdrachtgever. De Opdrachtgever zal zijn toestemming niet op onredelijke gronden weigeren en is gerechtigd aan deze toestemming voorwaarden te verbinden.</w:t>
            </w:r>
          </w:p>
          <w:p w:rsidR="00D217A5" w:rsidRPr="006A16D8" w:rsidRDefault="00D217A5" w:rsidP="00D217A5"/>
        </w:tc>
      </w:tr>
      <w:tr w:rsidR="00D217A5" w:rsidRPr="003042B1" w:rsidTr="0047441E">
        <w:tc>
          <w:tcPr>
            <w:tcW w:w="1838" w:type="dxa"/>
          </w:tcPr>
          <w:p w:rsidR="00D217A5" w:rsidRPr="003042B1" w:rsidRDefault="00D217A5" w:rsidP="00D217A5">
            <w:r w:rsidRPr="003042B1">
              <w:t>4.7</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Opdrachtnemer informeert Opdrachtgever binnen een week na interne bekendwording, over wisselingen van de contactpersoon bij Opdrachtnemer.</w:t>
            </w:r>
          </w:p>
          <w:p w:rsidR="00D217A5" w:rsidRPr="003042B1" w:rsidRDefault="00D217A5" w:rsidP="00D217A5"/>
        </w:tc>
      </w:tr>
      <w:tr w:rsidR="00D217A5" w:rsidRPr="003042B1" w:rsidTr="0047441E">
        <w:tc>
          <w:tcPr>
            <w:tcW w:w="1838" w:type="dxa"/>
          </w:tcPr>
          <w:p w:rsidR="00D217A5" w:rsidRPr="003042B1" w:rsidRDefault="00D217A5" w:rsidP="00D217A5">
            <w:r w:rsidRPr="003042B1">
              <w:t>4.8</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Opdrachtnemer is zonder voorafgaande schriftelijke toestemming van de Opdrachtgever niet gerechtigd de personen, die belast zijn met de uitvoering van Diensten, tijdelijk of definitief te vervangen, om andere redenen dan uitdiensttreding bij de Opdrachtnemer dan wel diens opdrachtnemer(s), tenzij anders is overeengekomen in de Overeenkomst. De Opdrachtgever zal zijn toestemming niet op onredelijke gronden weigeren en is gerechtigd aan deze toestemming voorwaarden te verbinden. De voor de oorspronkelijke personen geldende tarieven kunnen bij vervanging niet worden verhoogd.</w:t>
            </w:r>
          </w:p>
          <w:p w:rsidR="00D217A5" w:rsidRPr="003042B1" w:rsidRDefault="00D217A5" w:rsidP="00D217A5"/>
        </w:tc>
      </w:tr>
      <w:tr w:rsidR="00D217A5" w:rsidRPr="003042B1" w:rsidTr="0047441E">
        <w:tc>
          <w:tcPr>
            <w:tcW w:w="1838" w:type="dxa"/>
          </w:tcPr>
          <w:p w:rsidR="00D217A5" w:rsidRPr="003042B1" w:rsidRDefault="00D217A5" w:rsidP="00D217A5">
            <w:r w:rsidRPr="003042B1">
              <w:t>4.9</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Als de Opdrachtgever andere personen wenst voor de uitvoering van de Overeenkomst, omdat hij meent dat dit van belang is voor een goede uitvoering van de opdracht, deelt hij dit schriftelijk mee aan de Opdrachtnemer, onder opgave van redenen. Opdrachtnemer zal zo spoedig mogelijk voor adequate vervanging zorg dragen. Indien de aard van de opdracht niet wijzigt kunnen de -voor de te vervangen personen geldende- tarieven niet verhoogd worden.</w:t>
            </w:r>
          </w:p>
          <w:p w:rsidR="00D217A5" w:rsidRPr="003042B1" w:rsidRDefault="00D217A5" w:rsidP="00D217A5"/>
        </w:tc>
      </w:tr>
      <w:tr w:rsidR="00D217A5" w:rsidRPr="003042B1" w:rsidTr="0047441E">
        <w:tc>
          <w:tcPr>
            <w:tcW w:w="1838" w:type="dxa"/>
          </w:tcPr>
          <w:p w:rsidR="00D217A5" w:rsidRPr="003042B1" w:rsidRDefault="00D217A5" w:rsidP="00D217A5">
            <w:r w:rsidRPr="003042B1">
              <w:lastRenderedPageBreak/>
              <w:t xml:space="preserve">9.3 </w:t>
            </w:r>
          </w:p>
        </w:tc>
        <w:tc>
          <w:tcPr>
            <w:tcW w:w="2268" w:type="dxa"/>
          </w:tcPr>
          <w:p w:rsidR="00D217A5" w:rsidRPr="003042B1" w:rsidRDefault="00D217A5" w:rsidP="00D217A5">
            <w:r w:rsidRPr="003042B1">
              <w:t>Wijziging</w:t>
            </w:r>
          </w:p>
        </w:tc>
        <w:tc>
          <w:tcPr>
            <w:tcW w:w="4956" w:type="dxa"/>
          </w:tcPr>
          <w:p w:rsidR="00D217A5" w:rsidRPr="003042B1" w:rsidRDefault="00D217A5" w:rsidP="00D217A5">
            <w:r w:rsidRPr="003042B1">
              <w:t>Een factuur dient aan de wettelijke eisen alsmede aan de volgende onderstaande eisen te voldoen:</w:t>
            </w:r>
          </w:p>
        </w:tc>
      </w:tr>
      <w:tr w:rsidR="00D217A5" w:rsidRPr="003042B1" w:rsidTr="0047441E">
        <w:tc>
          <w:tcPr>
            <w:tcW w:w="1838" w:type="dxa"/>
          </w:tcPr>
          <w:p w:rsidR="00D217A5" w:rsidRPr="003042B1" w:rsidRDefault="00D217A5" w:rsidP="00D217A5">
            <w:r w:rsidRPr="003042B1">
              <w:t>9.3. A</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U dient uw factuur digitaal te zenden aan:</w:t>
            </w:r>
            <w:hyperlink r:id="rId8" w:history="1">
              <w:r w:rsidRPr="003042B1">
                <w:rPr>
                  <w:rStyle w:val="Hyperlink"/>
                  <w:rFonts w:ascii="Arial" w:hAnsi="Arial" w:cs="Arial"/>
                  <w:sz w:val="20"/>
                  <w:szCs w:val="20"/>
                  <w:lang w:val="nl-BE" w:eastAsia="nl-BE" w:bidi="nl-BE"/>
                </w:rPr>
                <w:t xml:space="preserve"> </w:t>
              </w:r>
              <w:proofErr w:type="spellStart"/>
              <w:r w:rsidRPr="003042B1">
                <w:rPr>
                  <w:rStyle w:val="Hyperlink"/>
                  <w:rFonts w:ascii="Arial" w:hAnsi="Arial" w:cs="Arial"/>
                  <w:sz w:val="20"/>
                  <w:szCs w:val="20"/>
                </w:rPr>
                <w:t>factuur@amersfoort</w:t>
              </w:r>
              <w:proofErr w:type="spellEnd"/>
              <w:r w:rsidRPr="003042B1">
                <w:rPr>
                  <w:rStyle w:val="Hyperlink"/>
                  <w:rFonts w:ascii="Arial" w:hAnsi="Arial" w:cs="Arial"/>
                  <w:sz w:val="20"/>
                  <w:szCs w:val="20"/>
                </w:rPr>
                <w:t>. nl</w:t>
              </w:r>
            </w:hyperlink>
          </w:p>
        </w:tc>
      </w:tr>
      <w:tr w:rsidR="00D217A5" w:rsidRPr="003042B1" w:rsidTr="0047441E">
        <w:tc>
          <w:tcPr>
            <w:tcW w:w="1838" w:type="dxa"/>
          </w:tcPr>
          <w:p w:rsidR="00D217A5" w:rsidRPr="003042B1" w:rsidRDefault="00D217A5" w:rsidP="00D217A5">
            <w:r w:rsidRPr="003042B1">
              <w:t>9.3. B</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Opdrachtnemer dient op elke factuur een kostenplaatsnummer op te nemen van Opdrachtgever. Opdrachtgever dient deze te verstrekken. Opdrachtnemer dient hier om te vragen wanneer dit nummer niet door Opdrachtgever is verstrekt.</w:t>
            </w:r>
          </w:p>
          <w:p w:rsidR="00D217A5" w:rsidRPr="003042B1" w:rsidRDefault="00D217A5" w:rsidP="00D217A5"/>
        </w:tc>
      </w:tr>
      <w:tr w:rsidR="00D217A5" w:rsidRPr="003042B1" w:rsidTr="0047441E">
        <w:tc>
          <w:tcPr>
            <w:tcW w:w="1838" w:type="dxa"/>
          </w:tcPr>
          <w:p w:rsidR="00D217A5" w:rsidRPr="003042B1" w:rsidRDefault="00D217A5" w:rsidP="00D217A5">
            <w:r w:rsidRPr="003042B1">
              <w:t>9.3. C</w:t>
            </w:r>
          </w:p>
        </w:tc>
        <w:tc>
          <w:tcPr>
            <w:tcW w:w="2268" w:type="dxa"/>
          </w:tcPr>
          <w:p w:rsidR="00D217A5" w:rsidRPr="003042B1" w:rsidRDefault="00D217A5" w:rsidP="00D217A5">
            <w:r w:rsidRPr="003042B1">
              <w:t>Nieuw lid</w:t>
            </w:r>
          </w:p>
        </w:tc>
        <w:tc>
          <w:tcPr>
            <w:tcW w:w="4956" w:type="dxa"/>
          </w:tcPr>
          <w:p w:rsidR="00D217A5" w:rsidRPr="003042B1" w:rsidRDefault="00D217A5" w:rsidP="00D217A5">
            <w:pPr>
              <w:rPr>
                <w:lang w:eastAsia="nl-NL"/>
              </w:rPr>
            </w:pPr>
            <w:r w:rsidRPr="003042B1">
              <w:rPr>
                <w:color w:val="000000"/>
                <w:lang w:val="nl-BE" w:eastAsia="nl-BE" w:bidi="nl-BE"/>
              </w:rPr>
              <w:t>Opdrachtgever is niet gehouden tot betaling van een factuur die niet voldoet aan de gestelde eisen. Een factuur die niet voldoet aan de gestelde eisen wordt door Opdrachtgever zo spoedig mogelijk aan Opdrachtnemer geretourneerd, waarna Opdrachtnemer alsnog een factuur zendt die wel voldoet aan de gestelde eisen.</w:t>
            </w:r>
          </w:p>
          <w:p w:rsidR="00D217A5" w:rsidRPr="003042B1" w:rsidRDefault="00D217A5" w:rsidP="00D217A5"/>
        </w:tc>
      </w:tr>
      <w:tr w:rsidR="00D217A5" w:rsidRPr="003042B1" w:rsidTr="0047441E">
        <w:tc>
          <w:tcPr>
            <w:tcW w:w="1838" w:type="dxa"/>
          </w:tcPr>
          <w:p w:rsidR="00D217A5" w:rsidRPr="003042B1" w:rsidRDefault="00D217A5" w:rsidP="00D217A5">
            <w:r w:rsidRPr="003042B1">
              <w:t>9.3. D</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Overschrijding van een betalingstermijn door Opdrachtgever of niet-betaling door Opdrachtgever van een factuur op grond van vermoede onjuistheid van die factuur of van ondeugdelijkheid van de gefactureerde prestaties geeft Opdrachtnemer niet het recht zijn prestaties op te schorten dan wel de Overeenkomst te ontbinden. Opdrachtgever zal een dergelijk vermoeden zo snel mogelijk bij Opdrachtnemer melden.</w:t>
            </w:r>
          </w:p>
          <w:p w:rsidR="00D217A5" w:rsidRPr="003042B1" w:rsidRDefault="00D217A5" w:rsidP="00D217A5"/>
        </w:tc>
      </w:tr>
      <w:tr w:rsidR="00D217A5" w:rsidRPr="003042B1" w:rsidTr="0047441E">
        <w:tc>
          <w:tcPr>
            <w:tcW w:w="1838" w:type="dxa"/>
          </w:tcPr>
          <w:p w:rsidR="00D217A5" w:rsidRPr="003042B1" w:rsidRDefault="00D217A5" w:rsidP="00D217A5">
            <w:r w:rsidRPr="003042B1">
              <w:t>9.3. E</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Om nakoming van de verplichtingen van Opdrachtnemer zeker te stellen, is Opdrachtgever ingeval van gehele of gedeeltelijke vooruitbetaling bevoegd te verlangen, dat Opdrachtnemer een onvoorwaardelijke en onherroepelijke bankgarantie afgeeft door een voor Opdrachtgever acceptabele bankinstelling. Indien de Opdrachtnemer niet onverwijld gehoor geeft aan een verzoek om een bankgarantie als in de vorige volzin bedoeld, is de Opdrachtgever bevoegd de Overeenkomst te ontbinden, onverminderd haar recht op schadevergoeding. De kosten van de bankgarantie zijn voor rekening van Opdrachtnemer.</w:t>
            </w:r>
          </w:p>
          <w:p w:rsidR="00D217A5" w:rsidRPr="003042B1" w:rsidRDefault="00D217A5" w:rsidP="00D217A5"/>
        </w:tc>
      </w:tr>
      <w:tr w:rsidR="00D217A5" w:rsidRPr="003042B1" w:rsidTr="0047441E">
        <w:tc>
          <w:tcPr>
            <w:tcW w:w="1838" w:type="dxa"/>
          </w:tcPr>
          <w:p w:rsidR="00D217A5" w:rsidRPr="003042B1" w:rsidRDefault="00D217A5" w:rsidP="00D217A5">
            <w:r w:rsidRPr="003042B1">
              <w:t>9.5.</w:t>
            </w:r>
          </w:p>
        </w:tc>
        <w:tc>
          <w:tcPr>
            <w:tcW w:w="2268" w:type="dxa"/>
          </w:tcPr>
          <w:p w:rsidR="00D217A5" w:rsidRPr="003042B1" w:rsidRDefault="00D217A5" w:rsidP="00D217A5">
            <w:proofErr w:type="spellStart"/>
            <w:r w:rsidRPr="003042B1">
              <w:t>Wijzging</w:t>
            </w:r>
            <w:proofErr w:type="spellEnd"/>
          </w:p>
        </w:tc>
        <w:tc>
          <w:tcPr>
            <w:tcW w:w="4956" w:type="dxa"/>
          </w:tcPr>
          <w:p w:rsidR="00D217A5" w:rsidRPr="003042B1" w:rsidRDefault="00D217A5" w:rsidP="00D217A5">
            <w:r w:rsidRPr="003042B1">
              <w:rPr>
                <w:rFonts w:eastAsia="Arial"/>
                <w:color w:val="000000" w:themeColor="text1"/>
              </w:rPr>
              <w:t>Leverancier verzendt de factuur elektronisch overeenkomstig de geldende eisen voor facturatie zoals opgenomen in de Gemeentelijke ICT-kwaliteitsnormen en de eisen gesteld in paragraaf 9.3. , tenzij anders tussen partijen overeengekomen</w:t>
            </w:r>
          </w:p>
        </w:tc>
      </w:tr>
      <w:tr w:rsidR="00D217A5" w:rsidRPr="003042B1" w:rsidTr="0047441E">
        <w:tc>
          <w:tcPr>
            <w:tcW w:w="1838" w:type="dxa"/>
          </w:tcPr>
          <w:p w:rsidR="00D217A5" w:rsidRPr="003042B1" w:rsidRDefault="00D217A5" w:rsidP="00D217A5">
            <w:r w:rsidRPr="003042B1">
              <w:lastRenderedPageBreak/>
              <w:t>11.4</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De Opdrachtgever is vrij in het gebruik van de op basis van de Overeenkomst te leveren documenten, waaronder begrepen het vermenigvuldigen daarvan voor eigen gebruik en het gebruik door derden ten behoeve van de Opdrachtgever.</w:t>
            </w:r>
          </w:p>
        </w:tc>
      </w:tr>
      <w:tr w:rsidR="00D217A5" w:rsidRPr="003042B1" w:rsidTr="0047441E">
        <w:tc>
          <w:tcPr>
            <w:tcW w:w="1838" w:type="dxa"/>
          </w:tcPr>
          <w:p w:rsidR="00D217A5" w:rsidRPr="003042B1" w:rsidRDefault="00D217A5" w:rsidP="00D217A5">
            <w:r w:rsidRPr="003042B1">
              <w:t>13.2</w:t>
            </w:r>
          </w:p>
        </w:tc>
        <w:tc>
          <w:tcPr>
            <w:tcW w:w="2268" w:type="dxa"/>
          </w:tcPr>
          <w:p w:rsidR="00D217A5" w:rsidRPr="003042B1" w:rsidRDefault="007237A3" w:rsidP="00D217A5">
            <w:r w:rsidRPr="003042B1">
              <w:t>Wijziging</w:t>
            </w:r>
            <w:bookmarkStart w:id="0" w:name="_GoBack"/>
            <w:bookmarkEnd w:id="0"/>
            <w:r w:rsidR="00D217A5" w:rsidRPr="003042B1">
              <w:t xml:space="preserve"> (Hoogte van het schadebedrag met gebeurtenis).</w:t>
            </w:r>
          </w:p>
        </w:tc>
        <w:tc>
          <w:tcPr>
            <w:tcW w:w="4956" w:type="dxa"/>
          </w:tcPr>
          <w:p w:rsidR="00D217A5" w:rsidRPr="003042B1" w:rsidRDefault="00D217A5" w:rsidP="00D217A5">
            <w:pPr>
              <w:rPr>
                <w:color w:val="000000"/>
                <w:lang w:val="nl-BE" w:eastAsia="nl-BE" w:bidi="nl-BE"/>
              </w:rPr>
            </w:pPr>
            <w:r w:rsidRPr="003042B1">
              <w:rPr>
                <w:color w:val="000000"/>
                <w:lang w:val="nl-BE" w:eastAsia="nl-BE" w:bidi="nl-BE"/>
              </w:rPr>
              <w:t xml:space="preserve"> …. </w:t>
            </w:r>
            <w:r w:rsidRPr="003042B1">
              <w:rPr>
                <w:rFonts w:eastAsia="Arial"/>
                <w:color w:val="000000" w:themeColor="text1"/>
              </w:rPr>
              <w:t>met dien verstande dat de aansprakelijkheid nooit meer zal bedragen dan € 1.125.000,-- per gebeurtenis…..</w:t>
            </w:r>
          </w:p>
        </w:tc>
      </w:tr>
      <w:tr w:rsidR="00D217A5" w:rsidRPr="003042B1" w:rsidTr="0047441E">
        <w:tc>
          <w:tcPr>
            <w:tcW w:w="1838" w:type="dxa"/>
          </w:tcPr>
          <w:p w:rsidR="00D217A5" w:rsidRPr="003042B1" w:rsidRDefault="00D217A5" w:rsidP="00D217A5">
            <w:r w:rsidRPr="003042B1">
              <w:t>20.13</w:t>
            </w:r>
          </w:p>
        </w:tc>
        <w:tc>
          <w:tcPr>
            <w:tcW w:w="2268" w:type="dxa"/>
          </w:tcPr>
          <w:p w:rsidR="00D217A5" w:rsidRPr="003042B1" w:rsidRDefault="00D217A5" w:rsidP="00D217A5">
            <w:r w:rsidRPr="003042B1">
              <w:t>Wijziging</w:t>
            </w:r>
          </w:p>
        </w:tc>
        <w:tc>
          <w:tcPr>
            <w:tcW w:w="4956" w:type="dxa"/>
          </w:tcPr>
          <w:p w:rsidR="00D217A5" w:rsidRPr="003042B1" w:rsidRDefault="00D217A5" w:rsidP="00D217A5">
            <w:bookmarkStart w:id="1" w:name="_Hlk516747929"/>
            <w:r w:rsidRPr="003042B1">
              <w:rPr>
                <w:color w:val="000000"/>
                <w:lang w:val="nl-BE" w:eastAsia="nl-BE" w:bidi="nl-BE"/>
              </w:rPr>
              <w:t>Een Partij heeft het recht om door middel van een aangetekende brief de Overeenkomst met onmiddellijke ingang te ontbinden indien</w:t>
            </w:r>
          </w:p>
          <w:p w:rsidR="00D217A5" w:rsidRPr="003042B1" w:rsidRDefault="00D217A5" w:rsidP="00D217A5">
            <w:r w:rsidRPr="003042B1">
              <w:rPr>
                <w:color w:val="000000"/>
                <w:lang w:val="nl-BE" w:eastAsia="nl-BE" w:bidi="nl-BE"/>
              </w:rPr>
              <w:t>de andere Partij gedurende een periode van minimaal 30 dagen niet-toerekenbaar tekortschiet in de nakoming van de Overeenkomst, of:</w:t>
            </w:r>
          </w:p>
          <w:p w:rsidR="00D217A5" w:rsidRPr="003042B1" w:rsidRDefault="00D217A5" w:rsidP="00D217A5">
            <w:r w:rsidRPr="003042B1">
              <w:rPr>
                <w:color w:val="000000"/>
                <w:lang w:val="nl-BE" w:eastAsia="nl-BE" w:bidi="nl-BE"/>
              </w:rPr>
              <w:t>zodra voor het verstrijken van deze termijn van 30 dagen redelijkerwijs vast komt te staan dat de periode waarin de tekortkoming(en) niet aan de Opdrachtnemer kan worden toegerekend minimaal 30 dagen zal aanhouden.</w:t>
            </w:r>
          </w:p>
          <w:bookmarkEnd w:id="1"/>
          <w:p w:rsidR="00D217A5" w:rsidRPr="003042B1" w:rsidRDefault="00D217A5" w:rsidP="00D217A5"/>
        </w:tc>
      </w:tr>
      <w:tr w:rsidR="00D217A5" w:rsidRPr="003042B1" w:rsidTr="0047441E">
        <w:tc>
          <w:tcPr>
            <w:tcW w:w="1838" w:type="dxa"/>
          </w:tcPr>
          <w:p w:rsidR="00D217A5" w:rsidRPr="003042B1" w:rsidRDefault="00D217A5" w:rsidP="00D217A5">
            <w:r w:rsidRPr="003042B1">
              <w:t>23.4</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Het bepaalde in artikel 23.3  laat onverlet de bevoegdheid van Partijen om bij overeenkomst een geschil aan arbitrage te onderwerpen.</w:t>
            </w:r>
          </w:p>
        </w:tc>
      </w:tr>
      <w:tr w:rsidR="00D217A5" w:rsidRPr="003042B1" w:rsidTr="003042B1">
        <w:tc>
          <w:tcPr>
            <w:tcW w:w="1838" w:type="dxa"/>
            <w:shd w:val="clear" w:color="auto" w:fill="AEAAAA" w:themeFill="background2" w:themeFillShade="BF"/>
          </w:tcPr>
          <w:p w:rsidR="00D217A5" w:rsidRPr="003042B1" w:rsidRDefault="00D217A5" w:rsidP="00D217A5">
            <w:r>
              <w:t xml:space="preserve">Hoofdstuk </w:t>
            </w:r>
            <w:r w:rsidRPr="003042B1">
              <w:t xml:space="preserve">IV </w:t>
            </w:r>
          </w:p>
        </w:tc>
        <w:tc>
          <w:tcPr>
            <w:tcW w:w="2268" w:type="dxa"/>
            <w:shd w:val="clear" w:color="auto" w:fill="AEAAAA" w:themeFill="background2" w:themeFillShade="BF"/>
          </w:tcPr>
          <w:p w:rsidR="00D217A5" w:rsidRPr="003042B1" w:rsidRDefault="00D217A5" w:rsidP="00D217A5">
            <w:r w:rsidRPr="003042B1">
              <w:t>Nieuw hoofdstuk</w:t>
            </w:r>
          </w:p>
        </w:tc>
        <w:tc>
          <w:tcPr>
            <w:tcW w:w="4956" w:type="dxa"/>
            <w:shd w:val="clear" w:color="auto" w:fill="AEAAAA" w:themeFill="background2" w:themeFillShade="BF"/>
          </w:tcPr>
          <w:p w:rsidR="00D217A5" w:rsidRPr="003042B1" w:rsidRDefault="00D217A5" w:rsidP="00D217A5">
            <w:r w:rsidRPr="003042B1">
              <w:t>Maatschappelijk verantwoord ondernemen</w:t>
            </w:r>
          </w:p>
        </w:tc>
      </w:tr>
      <w:tr w:rsidR="00D217A5" w:rsidRPr="003042B1" w:rsidTr="0047441E">
        <w:tc>
          <w:tcPr>
            <w:tcW w:w="1838" w:type="dxa"/>
          </w:tcPr>
          <w:p w:rsidR="00D217A5" w:rsidRPr="003042B1" w:rsidRDefault="00D217A5" w:rsidP="00D217A5">
            <w:r w:rsidRPr="003042B1">
              <w:t>33.1.</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Opdrachtnemer dient zich te houden aan de in Nederland gangbare normen en waarden op sociaal</w:t>
            </w:r>
            <w:r w:rsidRPr="003042B1">
              <w:rPr>
                <w:color w:val="000000"/>
                <w:lang w:val="nl-BE" w:eastAsia="nl-BE" w:bidi="nl-BE"/>
              </w:rPr>
              <w:softHyphen/>
              <w:t>maatschappelijk gebied, waaronder mede, doch niet uitsluitend, wordt begrepen discriminatie van werknemers of (toe-)leveranciers, gebruikmaking van kinderarbeid, ontoereikende arbeidsomstandigheden of andere onethische praktijken en de eventueel in de Offerte aanvraag gespecificeerde verdere expliciete eisen en wensen van de Opdrachtgever.</w:t>
            </w:r>
          </w:p>
          <w:p w:rsidR="00D217A5" w:rsidRPr="003042B1" w:rsidRDefault="00D217A5" w:rsidP="00D217A5">
            <w:r w:rsidRPr="003042B1">
              <w:rPr>
                <w:color w:val="000000"/>
                <w:lang w:val="nl-BE" w:eastAsia="nl-BE" w:bidi="nl-BE"/>
              </w:rPr>
              <w:t>Verdere expliciete eisen en wensen hieromtrent, worden in de Offerte aanvraag gespecificeerd.</w:t>
            </w:r>
          </w:p>
          <w:p w:rsidR="00D217A5" w:rsidRPr="003042B1" w:rsidRDefault="00D217A5" w:rsidP="00D217A5"/>
        </w:tc>
      </w:tr>
      <w:tr w:rsidR="00D217A5" w:rsidRPr="003042B1" w:rsidTr="0047441E">
        <w:tc>
          <w:tcPr>
            <w:tcW w:w="1838" w:type="dxa"/>
          </w:tcPr>
          <w:p w:rsidR="00D217A5" w:rsidRPr="003042B1" w:rsidRDefault="00D217A5" w:rsidP="00D217A5">
            <w:r w:rsidRPr="003042B1">
              <w:t>33.2.</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Opdrachtnemer dient actief een verminderde belasting van het milieu van zijn Goederen, verpakkingen, grond- en hulpstoffen na te streven.</w:t>
            </w:r>
          </w:p>
        </w:tc>
      </w:tr>
      <w:tr w:rsidR="00D217A5" w:rsidRPr="003042B1" w:rsidTr="0047441E">
        <w:tc>
          <w:tcPr>
            <w:tcW w:w="1838" w:type="dxa"/>
          </w:tcPr>
          <w:p w:rsidR="00D217A5" w:rsidRPr="003042B1" w:rsidRDefault="00D217A5" w:rsidP="00D217A5">
            <w:r w:rsidRPr="003042B1">
              <w:t>33.3.</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Opdrachtnemer dient een bijdrage te leveren aan de verhoging van de arbeidsparticipatie van de onderkant van de arbeidsmarkt (WWB, WSW, Wajong, WIA, BBL en BOL trajecten).</w:t>
            </w:r>
          </w:p>
          <w:p w:rsidR="00D217A5" w:rsidRPr="003042B1" w:rsidRDefault="00D217A5" w:rsidP="00D217A5">
            <w:r w:rsidRPr="003042B1">
              <w:rPr>
                <w:color w:val="000000"/>
                <w:lang w:val="nl-BE" w:eastAsia="nl-BE" w:bidi="nl-BE"/>
              </w:rPr>
              <w:t>De exacte invulling hiervan is in het aanbestedingsdocument gespecificeerd.</w:t>
            </w:r>
          </w:p>
          <w:p w:rsidR="00D217A5" w:rsidRPr="003042B1" w:rsidRDefault="00D217A5" w:rsidP="00D217A5"/>
        </w:tc>
      </w:tr>
      <w:tr w:rsidR="00D217A5" w:rsidRPr="003042B1" w:rsidTr="003042B1">
        <w:tc>
          <w:tcPr>
            <w:tcW w:w="1838" w:type="dxa"/>
            <w:shd w:val="clear" w:color="auto" w:fill="AEAAAA" w:themeFill="background2" w:themeFillShade="BF"/>
          </w:tcPr>
          <w:p w:rsidR="00D217A5" w:rsidRPr="003042B1" w:rsidRDefault="00D217A5" w:rsidP="00D217A5">
            <w:r>
              <w:lastRenderedPageBreak/>
              <w:t>Hoofdstuk V</w:t>
            </w:r>
          </w:p>
        </w:tc>
        <w:tc>
          <w:tcPr>
            <w:tcW w:w="2268" w:type="dxa"/>
            <w:shd w:val="clear" w:color="auto" w:fill="AEAAAA" w:themeFill="background2" w:themeFillShade="BF"/>
          </w:tcPr>
          <w:p w:rsidR="00D217A5" w:rsidRPr="003042B1" w:rsidRDefault="00D217A5" w:rsidP="00D217A5">
            <w:r w:rsidRPr="003042B1">
              <w:t>Nieuw hoofdstuk</w:t>
            </w:r>
          </w:p>
        </w:tc>
        <w:tc>
          <w:tcPr>
            <w:tcW w:w="4956" w:type="dxa"/>
            <w:shd w:val="clear" w:color="auto" w:fill="AEAAAA" w:themeFill="background2" w:themeFillShade="BF"/>
          </w:tcPr>
          <w:p w:rsidR="00D217A5" w:rsidRPr="003042B1" w:rsidRDefault="00D217A5" w:rsidP="00D217A5">
            <w:r w:rsidRPr="003042B1">
              <w:t>Aanvullingen alleen van toepassing voor specifiek betreffende leveringen</w:t>
            </w:r>
          </w:p>
        </w:tc>
      </w:tr>
      <w:tr w:rsidR="00D217A5" w:rsidRPr="003042B1" w:rsidTr="00075E83">
        <w:tc>
          <w:tcPr>
            <w:tcW w:w="1838" w:type="dxa"/>
          </w:tcPr>
          <w:p w:rsidR="00D217A5" w:rsidRPr="003042B1" w:rsidRDefault="00D217A5" w:rsidP="00D217A5">
            <w:r w:rsidRPr="003042B1">
              <w:t>34.</w:t>
            </w:r>
          </w:p>
        </w:tc>
        <w:tc>
          <w:tcPr>
            <w:tcW w:w="2268" w:type="dxa"/>
          </w:tcPr>
          <w:p w:rsidR="00D217A5" w:rsidRPr="003042B1" w:rsidRDefault="00D217A5" w:rsidP="00D217A5">
            <w:r w:rsidRPr="003042B1">
              <w:t>Nieuw lid</w:t>
            </w:r>
          </w:p>
        </w:tc>
        <w:tc>
          <w:tcPr>
            <w:tcW w:w="4956" w:type="dxa"/>
            <w:shd w:val="clear" w:color="auto" w:fill="AEAAAA" w:themeFill="background2" w:themeFillShade="BF"/>
          </w:tcPr>
          <w:p w:rsidR="00D217A5" w:rsidRPr="003042B1" w:rsidRDefault="00D217A5" w:rsidP="00D217A5">
            <w:r w:rsidRPr="003042B1">
              <w:t>Levering</w:t>
            </w:r>
          </w:p>
        </w:tc>
      </w:tr>
      <w:tr w:rsidR="00D217A5" w:rsidRPr="003042B1" w:rsidTr="0047441E">
        <w:tc>
          <w:tcPr>
            <w:tcW w:w="1838" w:type="dxa"/>
          </w:tcPr>
          <w:p w:rsidR="00D217A5" w:rsidRPr="003042B1" w:rsidRDefault="00D217A5" w:rsidP="00D217A5">
            <w:r w:rsidRPr="003042B1">
              <w:t>34.1</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 xml:space="preserve">Levering vindt plaats op de overeengekomen plaats en het overeengekomen tijdstip, volgens de geldende </w:t>
            </w:r>
            <w:proofErr w:type="spellStart"/>
            <w:r w:rsidRPr="003042B1">
              <w:rPr>
                <w:color w:val="000000"/>
                <w:lang w:val="nl-BE" w:eastAsia="nl-BE" w:bidi="nl-BE"/>
              </w:rPr>
              <w:t>Incoterm</w:t>
            </w:r>
            <w:proofErr w:type="spellEnd"/>
            <w:r w:rsidRPr="003042B1">
              <w:rPr>
                <w:color w:val="000000"/>
                <w:lang w:val="nl-BE" w:eastAsia="nl-BE" w:bidi="nl-BE"/>
              </w:rPr>
              <w:t xml:space="preserve"> DDP (</w:t>
            </w:r>
            <w:proofErr w:type="spellStart"/>
            <w:r w:rsidRPr="003042B1">
              <w:rPr>
                <w:color w:val="000000"/>
                <w:lang w:val="nl-BE" w:eastAsia="nl-BE" w:bidi="nl-BE"/>
              </w:rPr>
              <w:t>Delivered</w:t>
            </w:r>
            <w:proofErr w:type="spellEnd"/>
            <w:r w:rsidRPr="003042B1">
              <w:rPr>
                <w:color w:val="000000"/>
                <w:lang w:val="nl-BE" w:eastAsia="nl-BE" w:bidi="nl-BE"/>
              </w:rPr>
              <w:t xml:space="preserve"> </w:t>
            </w:r>
            <w:proofErr w:type="spellStart"/>
            <w:r w:rsidRPr="003042B1">
              <w:rPr>
                <w:color w:val="000000"/>
                <w:lang w:val="nl-BE" w:eastAsia="nl-BE" w:bidi="nl-BE"/>
              </w:rPr>
              <w:t>Duty</w:t>
            </w:r>
            <w:proofErr w:type="spellEnd"/>
            <w:r w:rsidRPr="003042B1">
              <w:rPr>
                <w:color w:val="000000"/>
                <w:lang w:val="nl-BE" w:eastAsia="nl-BE" w:bidi="nl-BE"/>
              </w:rPr>
              <w:t xml:space="preserve"> </w:t>
            </w:r>
            <w:proofErr w:type="spellStart"/>
            <w:r w:rsidRPr="003042B1">
              <w:rPr>
                <w:color w:val="000000"/>
                <w:lang w:val="nl-BE" w:eastAsia="nl-BE" w:bidi="nl-BE"/>
              </w:rPr>
              <w:t>Paid</w:t>
            </w:r>
            <w:proofErr w:type="spellEnd"/>
            <w:r w:rsidRPr="003042B1">
              <w:rPr>
                <w:color w:val="000000"/>
                <w:lang w:val="nl-BE" w:eastAsia="nl-BE" w:bidi="nl-BE"/>
              </w:rPr>
              <w:t>), onverminderd het bepaalde in artikel 36.1.</w:t>
            </w:r>
          </w:p>
          <w:p w:rsidR="00D217A5" w:rsidRPr="003042B1" w:rsidRDefault="00D217A5" w:rsidP="00D217A5"/>
        </w:tc>
      </w:tr>
      <w:tr w:rsidR="00D217A5" w:rsidRPr="003042B1" w:rsidTr="0047441E">
        <w:tc>
          <w:tcPr>
            <w:tcW w:w="1838" w:type="dxa"/>
          </w:tcPr>
          <w:p w:rsidR="00D217A5" w:rsidRPr="003042B1" w:rsidRDefault="00D217A5" w:rsidP="00D217A5">
            <w:r w:rsidRPr="003042B1">
              <w:t>34.2</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De Opdrachtnemer staat er voor in dat de Goederen vrij zijn van alle lasten en beperkingen en aanspraken van derden, inclusief beperkingen die voortvloeien uit octrooien, auteursrechten of andere intellectuele eigendomsrechten, met uitzondering van lasten beperkingen en aanspraken die de Opdrachtgever uitdrukkelijk en schriftelijk heeft aanvaard.</w:t>
            </w:r>
          </w:p>
          <w:p w:rsidR="00D217A5" w:rsidRPr="003042B1" w:rsidRDefault="00D217A5" w:rsidP="00D217A5"/>
        </w:tc>
      </w:tr>
      <w:tr w:rsidR="00D217A5" w:rsidRPr="003042B1" w:rsidTr="00075E83">
        <w:tc>
          <w:tcPr>
            <w:tcW w:w="1838" w:type="dxa"/>
          </w:tcPr>
          <w:p w:rsidR="00D217A5" w:rsidRPr="003042B1" w:rsidRDefault="00D217A5" w:rsidP="00D217A5">
            <w:r w:rsidRPr="003042B1">
              <w:t>35</w:t>
            </w:r>
          </w:p>
        </w:tc>
        <w:tc>
          <w:tcPr>
            <w:tcW w:w="2268" w:type="dxa"/>
          </w:tcPr>
          <w:p w:rsidR="00D217A5" w:rsidRPr="003042B1" w:rsidRDefault="00D217A5" w:rsidP="00D217A5">
            <w:r w:rsidRPr="003042B1">
              <w:t>Nieuw lid</w:t>
            </w:r>
          </w:p>
        </w:tc>
        <w:tc>
          <w:tcPr>
            <w:tcW w:w="4956" w:type="dxa"/>
            <w:shd w:val="clear" w:color="auto" w:fill="AEAAAA" w:themeFill="background2" w:themeFillShade="BF"/>
          </w:tcPr>
          <w:p w:rsidR="00D217A5" w:rsidRPr="003042B1" w:rsidRDefault="00D217A5" w:rsidP="00D217A5">
            <w:r w:rsidRPr="003042B1">
              <w:t>Tijdstip van levering</w:t>
            </w:r>
          </w:p>
        </w:tc>
      </w:tr>
      <w:tr w:rsidR="00D217A5" w:rsidRPr="003042B1" w:rsidTr="0047441E">
        <w:tc>
          <w:tcPr>
            <w:tcW w:w="1838" w:type="dxa"/>
          </w:tcPr>
          <w:p w:rsidR="00D217A5" w:rsidRPr="003042B1" w:rsidRDefault="00D217A5" w:rsidP="00D217A5">
            <w:r w:rsidRPr="003042B1">
              <w:t>35.1</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De Opdrachtnemer dient dreigende overschrijdingen van de overeengekomen levertijd onverwijld schriftelijk te melden aan de Opdrachtgever. De Opdrachtnemer geeft daarbij tevens een voorstel aan op welke wijze hij de overschrijding zoveel mogelijk zal beperken. Dit laat onverlet de eventuele rechten van de Opdrachtgever naar aanleiding van de levertijdoverschrijding op grond van de Overeenkomst of wettelijke bepalingen.</w:t>
            </w:r>
          </w:p>
          <w:p w:rsidR="00D217A5" w:rsidRPr="003042B1" w:rsidRDefault="00D217A5" w:rsidP="00D217A5"/>
        </w:tc>
      </w:tr>
      <w:tr w:rsidR="00D217A5" w:rsidRPr="003042B1" w:rsidTr="008D10C2">
        <w:tc>
          <w:tcPr>
            <w:tcW w:w="1838" w:type="dxa"/>
          </w:tcPr>
          <w:p w:rsidR="00D217A5" w:rsidRPr="003042B1" w:rsidRDefault="00D217A5" w:rsidP="00D217A5">
            <w:r w:rsidRPr="003042B1">
              <w:t>36</w:t>
            </w:r>
          </w:p>
        </w:tc>
        <w:tc>
          <w:tcPr>
            <w:tcW w:w="2268" w:type="dxa"/>
          </w:tcPr>
          <w:p w:rsidR="00D217A5" w:rsidRPr="003042B1" w:rsidRDefault="00D217A5" w:rsidP="00D217A5">
            <w:r w:rsidRPr="003042B1">
              <w:t>Nieuw lid</w:t>
            </w:r>
          </w:p>
        </w:tc>
        <w:tc>
          <w:tcPr>
            <w:tcW w:w="4956" w:type="dxa"/>
            <w:shd w:val="clear" w:color="auto" w:fill="AEAAAA" w:themeFill="background2" w:themeFillShade="BF"/>
          </w:tcPr>
          <w:p w:rsidR="00D217A5" w:rsidRPr="003042B1" w:rsidRDefault="00D217A5" w:rsidP="00D217A5">
            <w:r w:rsidRPr="003042B1">
              <w:rPr>
                <w:color w:val="000000"/>
                <w:lang w:val="nl-BE" w:eastAsia="nl-BE" w:bidi="nl-BE"/>
              </w:rPr>
              <w:t>Risico-en eigendomsovergang</w:t>
            </w:r>
          </w:p>
        </w:tc>
      </w:tr>
      <w:tr w:rsidR="00D217A5" w:rsidRPr="003042B1" w:rsidTr="0047441E">
        <w:tc>
          <w:tcPr>
            <w:tcW w:w="1838" w:type="dxa"/>
          </w:tcPr>
          <w:p w:rsidR="00D217A5" w:rsidRPr="003042B1" w:rsidRDefault="00D217A5" w:rsidP="00D217A5">
            <w:r w:rsidRPr="003042B1">
              <w:t>36.1</w:t>
            </w:r>
          </w:p>
          <w:p w:rsidR="00D217A5" w:rsidRPr="003042B1" w:rsidRDefault="00D217A5" w:rsidP="00D217A5"/>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De eigendom van Goederen gaat over op de Opdrachtgever op het moment dat deze zijn geleverd aan de Opdrachtgever en, indien van toepassing, conform de Overeenkomst zijn gemonteerd respectievelijk geïnstalleerd.</w:t>
            </w:r>
          </w:p>
          <w:p w:rsidR="00D217A5" w:rsidRPr="003042B1" w:rsidRDefault="00D217A5" w:rsidP="00D217A5"/>
        </w:tc>
      </w:tr>
      <w:tr w:rsidR="00D217A5" w:rsidRPr="003042B1" w:rsidTr="00832937">
        <w:tc>
          <w:tcPr>
            <w:tcW w:w="1838" w:type="dxa"/>
          </w:tcPr>
          <w:p w:rsidR="00D217A5" w:rsidRPr="003042B1" w:rsidRDefault="00D217A5" w:rsidP="00D217A5">
            <w:r w:rsidRPr="003042B1">
              <w:t>36.2</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Indien tussen Partijen verschil van mening bestaat over de gerechtigheid tot materialen, resultaten van Diensten of documenten respectievelijk de intellectuele (eigendoms-)rechten daarvan, wordt ervan uitgegaan dat die gerechtigdheid bij de Opdrachtgever berust, tenzij Opdrachtnemer bewijs levert van het tegendeel. De Opdrachtnemer heeft het recht een kopie van alle resultaten te behouden.</w:t>
            </w:r>
          </w:p>
          <w:p w:rsidR="00D217A5" w:rsidRPr="003042B1" w:rsidRDefault="00D217A5" w:rsidP="00D217A5"/>
        </w:tc>
      </w:tr>
      <w:tr w:rsidR="00D217A5" w:rsidRPr="003042B1" w:rsidTr="00832937">
        <w:tc>
          <w:tcPr>
            <w:tcW w:w="1838" w:type="dxa"/>
          </w:tcPr>
          <w:p w:rsidR="00D217A5" w:rsidRPr="003042B1" w:rsidRDefault="00D217A5" w:rsidP="00D217A5">
            <w:r w:rsidRPr="003042B1">
              <w:t>36.3</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 xml:space="preserve">In geval de Opdrachtgever aan de Opdrachtnemer materialen, zoals grondstoffen, hulpstoffen, gereedschappen, tekeningen, specificaties en software ter beschikking stelt ten behoeve van de </w:t>
            </w:r>
            <w:r w:rsidRPr="003042B1">
              <w:rPr>
                <w:color w:val="000000"/>
                <w:lang w:val="nl-BE" w:eastAsia="nl-BE" w:bidi="nl-BE"/>
              </w:rPr>
              <w:lastRenderedPageBreak/>
              <w:t>nakoming van de verplichtingen van de Opdrachtnemer, blijven deze eigendom van de Opdrachtgever.</w:t>
            </w:r>
          </w:p>
          <w:p w:rsidR="00D217A5" w:rsidRPr="003042B1" w:rsidRDefault="00D217A5" w:rsidP="00D217A5">
            <w:r w:rsidRPr="003042B1">
              <w:rPr>
                <w:color w:val="000000"/>
                <w:lang w:val="nl-BE" w:eastAsia="nl-BE" w:bidi="nl-BE"/>
              </w:rPr>
              <w:t>De Opdrachtnemer zal de betreffende goederen bewaren afgescheiden van Goederen welke toebehoren aan zichzelf of aan derden en deze merken als eigendom van de Opdrachtgever.</w:t>
            </w:r>
          </w:p>
          <w:p w:rsidR="00D217A5" w:rsidRPr="003042B1" w:rsidRDefault="00D217A5" w:rsidP="00D217A5"/>
        </w:tc>
      </w:tr>
      <w:tr w:rsidR="00D217A5" w:rsidRPr="003042B1" w:rsidTr="00832937">
        <w:tc>
          <w:tcPr>
            <w:tcW w:w="1838" w:type="dxa"/>
          </w:tcPr>
          <w:p w:rsidR="00D217A5" w:rsidRPr="003042B1" w:rsidRDefault="00D217A5" w:rsidP="00D217A5">
            <w:r w:rsidRPr="003042B1">
              <w:lastRenderedPageBreak/>
              <w:t>36.4</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Op het moment dat materialen, zoals goederen, grondstoffen, hulpstoffen, specificaties en software, van de Opdrachtgever zijn verwerkt in Goederen van de Opdrachtnemer, is sprake van een nieuwe zaak waarvan de eigendom aan de Opdrachtgever toebehoort. Dit geldt onverminderd het bepaalde in artikel 36.5</w:t>
            </w:r>
          </w:p>
          <w:p w:rsidR="00D217A5" w:rsidRPr="003042B1" w:rsidRDefault="00D217A5" w:rsidP="00D217A5"/>
        </w:tc>
      </w:tr>
      <w:tr w:rsidR="00D217A5" w:rsidRPr="003042B1" w:rsidTr="00832937">
        <w:tc>
          <w:tcPr>
            <w:tcW w:w="1838" w:type="dxa"/>
          </w:tcPr>
          <w:p w:rsidR="00D217A5" w:rsidRPr="003042B1" w:rsidRDefault="00D217A5" w:rsidP="00D217A5">
            <w:r w:rsidRPr="003042B1">
              <w:t>36.5</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Het risico van de Goederen (inclusief nieuwe zaken als vermeld in artikel 19.4) gaat over op de Opdrachtgever op het moment dat de levering en vervolgens de goedkeuring door de Opdrachtgever heeft plaatsgevonden.</w:t>
            </w:r>
          </w:p>
          <w:p w:rsidR="00D217A5" w:rsidRPr="003042B1" w:rsidRDefault="00D217A5" w:rsidP="00D217A5"/>
        </w:tc>
      </w:tr>
      <w:tr w:rsidR="00D217A5" w:rsidRPr="003042B1" w:rsidTr="008D10C2">
        <w:tc>
          <w:tcPr>
            <w:tcW w:w="1838" w:type="dxa"/>
          </w:tcPr>
          <w:p w:rsidR="00D217A5" w:rsidRPr="003042B1" w:rsidRDefault="00D217A5" w:rsidP="00D217A5">
            <w:r w:rsidRPr="003042B1">
              <w:t>37</w:t>
            </w:r>
          </w:p>
        </w:tc>
        <w:tc>
          <w:tcPr>
            <w:tcW w:w="2268" w:type="dxa"/>
          </w:tcPr>
          <w:p w:rsidR="00D217A5" w:rsidRPr="003042B1" w:rsidRDefault="00D217A5" w:rsidP="00D217A5">
            <w:r w:rsidRPr="003042B1">
              <w:t>Nieuw lid</w:t>
            </w:r>
          </w:p>
        </w:tc>
        <w:tc>
          <w:tcPr>
            <w:tcW w:w="4956" w:type="dxa"/>
            <w:shd w:val="clear" w:color="auto" w:fill="AEAAAA" w:themeFill="background2" w:themeFillShade="BF"/>
          </w:tcPr>
          <w:p w:rsidR="00D217A5" w:rsidRPr="003042B1" w:rsidRDefault="00D217A5" w:rsidP="00D217A5">
            <w:r w:rsidRPr="003042B1">
              <w:t>Verpakking</w:t>
            </w:r>
          </w:p>
        </w:tc>
      </w:tr>
      <w:tr w:rsidR="00D217A5" w:rsidRPr="003042B1" w:rsidTr="00832937">
        <w:tc>
          <w:tcPr>
            <w:tcW w:w="1838" w:type="dxa"/>
          </w:tcPr>
          <w:p w:rsidR="00D217A5" w:rsidRPr="003042B1" w:rsidRDefault="00D217A5" w:rsidP="00D217A5">
            <w:r w:rsidRPr="003042B1">
              <w:t>37.1</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De Opdrachtnemer dient de Goederen zo milieuvriendelijk mogelijk te verpakken.</w:t>
            </w:r>
          </w:p>
          <w:p w:rsidR="00D217A5" w:rsidRPr="003042B1" w:rsidRDefault="00D217A5" w:rsidP="00D217A5"/>
        </w:tc>
      </w:tr>
      <w:tr w:rsidR="00D217A5" w:rsidRPr="003042B1" w:rsidTr="00075E83">
        <w:tc>
          <w:tcPr>
            <w:tcW w:w="1838" w:type="dxa"/>
          </w:tcPr>
          <w:p w:rsidR="00D217A5" w:rsidRPr="003042B1" w:rsidRDefault="00D217A5" w:rsidP="00D217A5">
            <w:r w:rsidRPr="003042B1">
              <w:t>37.2</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De Opdrachtnemer heeft de verplichting de (transport-)verpakkingsmaterialen ten behoeve van de Goederen voor rekening en risico van de Opdrachtnemer retour te nemen.</w:t>
            </w:r>
          </w:p>
          <w:p w:rsidR="00D217A5" w:rsidRPr="003042B1" w:rsidRDefault="00D217A5" w:rsidP="00D217A5"/>
        </w:tc>
      </w:tr>
      <w:tr w:rsidR="00D217A5" w:rsidRPr="003042B1" w:rsidTr="008D10C2">
        <w:tc>
          <w:tcPr>
            <w:tcW w:w="1838" w:type="dxa"/>
          </w:tcPr>
          <w:p w:rsidR="00D217A5" w:rsidRPr="003042B1" w:rsidRDefault="00D217A5" w:rsidP="00D217A5">
            <w:r w:rsidRPr="003042B1">
              <w:t>38</w:t>
            </w:r>
          </w:p>
        </w:tc>
        <w:tc>
          <w:tcPr>
            <w:tcW w:w="2268" w:type="dxa"/>
          </w:tcPr>
          <w:p w:rsidR="00D217A5" w:rsidRPr="003042B1" w:rsidRDefault="00D217A5" w:rsidP="00D217A5">
            <w:r w:rsidRPr="003042B1">
              <w:t>Nieuw lid</w:t>
            </w:r>
          </w:p>
        </w:tc>
        <w:tc>
          <w:tcPr>
            <w:tcW w:w="4956" w:type="dxa"/>
            <w:shd w:val="clear" w:color="auto" w:fill="AEAAAA" w:themeFill="background2" w:themeFillShade="BF"/>
          </w:tcPr>
          <w:p w:rsidR="00D217A5" w:rsidRPr="003042B1" w:rsidRDefault="00D217A5" w:rsidP="00D217A5">
            <w:r w:rsidRPr="003042B1">
              <w:t>Keuring, garantie en controle</w:t>
            </w:r>
          </w:p>
        </w:tc>
      </w:tr>
      <w:tr w:rsidR="00D217A5" w:rsidRPr="003042B1" w:rsidTr="00075E83">
        <w:tc>
          <w:tcPr>
            <w:tcW w:w="1838" w:type="dxa"/>
          </w:tcPr>
          <w:p w:rsidR="00D217A5" w:rsidRPr="003042B1" w:rsidRDefault="00D217A5" w:rsidP="00D217A5">
            <w:r w:rsidRPr="003042B1">
              <w:t>38.1</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De Opdrachtgever is niet gehouden tot het verrichten van een kwaliteitscontrole. De Opdrachtnemer kan het niet houden van een dergelijke controle nimmer ten gehele of gedeeltelijke afwering van enige vordering als verweer aan Opdrachtgever tegenwerpen.</w:t>
            </w:r>
          </w:p>
          <w:p w:rsidR="00D217A5" w:rsidRPr="003042B1" w:rsidRDefault="00D217A5" w:rsidP="00D217A5"/>
        </w:tc>
      </w:tr>
      <w:tr w:rsidR="00D217A5" w:rsidRPr="003042B1" w:rsidTr="00075E83">
        <w:tc>
          <w:tcPr>
            <w:tcW w:w="1838" w:type="dxa"/>
          </w:tcPr>
          <w:p w:rsidR="00D217A5" w:rsidRPr="003042B1" w:rsidRDefault="00D217A5" w:rsidP="00D217A5">
            <w:r w:rsidRPr="003042B1">
              <w:t>38.2</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Indien Opdrachtgever wel tot kwaliteitscontrole overgaat, kan dit bij Opdrachtnemer plaatsvinden of na aflevering op locatie. De controle kan plaatsvinden op fysieke elementen als beschadiging, maatvoering, hoeveelheid en/of gewicht etc.</w:t>
            </w:r>
          </w:p>
          <w:p w:rsidR="00D217A5" w:rsidRPr="003042B1" w:rsidRDefault="00D217A5" w:rsidP="00D217A5"/>
        </w:tc>
      </w:tr>
      <w:tr w:rsidR="00D217A5" w:rsidRPr="003042B1" w:rsidTr="00075E83">
        <w:tc>
          <w:tcPr>
            <w:tcW w:w="1838" w:type="dxa"/>
          </w:tcPr>
          <w:p w:rsidR="00D217A5" w:rsidRPr="003042B1" w:rsidRDefault="00D217A5" w:rsidP="00D217A5">
            <w:r w:rsidRPr="003042B1">
              <w:t>38.3</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 xml:space="preserve">Indien de Opdrachtnemer tekortschiet in het verrichten van een handeling waarmee hij aan een keuring of controle moet meewerken, komen de </w:t>
            </w:r>
            <w:r w:rsidRPr="003042B1">
              <w:rPr>
                <w:color w:val="000000"/>
                <w:lang w:val="nl-BE" w:eastAsia="nl-BE" w:bidi="nl-BE"/>
              </w:rPr>
              <w:lastRenderedPageBreak/>
              <w:t>kosten die daarvan het gevolg zijn voor rekening van de Opdrachtnemer.</w:t>
            </w:r>
          </w:p>
          <w:p w:rsidR="00D217A5" w:rsidRPr="003042B1" w:rsidRDefault="00D217A5" w:rsidP="00D217A5"/>
        </w:tc>
      </w:tr>
      <w:tr w:rsidR="00D217A5" w:rsidRPr="003042B1" w:rsidTr="00075E83">
        <w:tc>
          <w:tcPr>
            <w:tcW w:w="1838" w:type="dxa"/>
          </w:tcPr>
          <w:p w:rsidR="00D217A5" w:rsidRPr="003042B1" w:rsidRDefault="00D217A5" w:rsidP="00D217A5">
            <w:r w:rsidRPr="003042B1">
              <w:lastRenderedPageBreak/>
              <w:t>38.4</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Indien de Opdrachtnemer niet binnen twee weken na de melding van de afkeuring de afgekeurde geleverde Goederen op eigen kosten terughaalt, heeft de Opdrachtgever het recht de betreffende Goederen aan de Opdrachtnemer voor diens rekening en risico te retourneren.</w:t>
            </w:r>
          </w:p>
          <w:p w:rsidR="00D217A5" w:rsidRPr="003042B1" w:rsidRDefault="00D217A5" w:rsidP="00D217A5"/>
        </w:tc>
      </w:tr>
      <w:tr w:rsidR="00D217A5" w:rsidRPr="003042B1" w:rsidTr="008D10C2">
        <w:tc>
          <w:tcPr>
            <w:tcW w:w="1838" w:type="dxa"/>
          </w:tcPr>
          <w:p w:rsidR="00D217A5" w:rsidRPr="003042B1" w:rsidRDefault="00D217A5" w:rsidP="00D217A5">
            <w:r w:rsidRPr="003042B1">
              <w:t>38.5</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De Opdrachtnemer staat er voor in dat de te leveren Goederen volledig geschikt zijn voor het doel waarvoor zij bestemd zijn en als zodanig kunnen worden aangewend en dat de zaken te allen tijde een goede en constante kwaliteit hebben en vrij zijn van constructie-, materiaal- en fabricagefouten alsook van fouten of gebreken in de aard, samenstelling, inhoud of receptuur. De Opdrachtnemer staat er voor in dat het volgens de Overeenkomst beoogde resultaat inclusief functionele geschiktheid zal worden bereikt en dat aan de in dat verband door de Opdrachtgever gestelde eisen wordt voldaan. De Opdrachtnemer staat in voor de geschiktheid en deugdelijkheid van ontwerpen, tekeningen, richtlijnen, materialen en dergelijke die door of vanwege haar zijn geadviseerd, voorgeschreven of verstrekt.</w:t>
            </w:r>
          </w:p>
          <w:p w:rsidR="00D217A5" w:rsidRPr="003042B1" w:rsidRDefault="00D217A5" w:rsidP="00D217A5"/>
        </w:tc>
      </w:tr>
      <w:tr w:rsidR="00D217A5" w:rsidRPr="003042B1" w:rsidTr="008D10C2">
        <w:tc>
          <w:tcPr>
            <w:tcW w:w="1838" w:type="dxa"/>
          </w:tcPr>
          <w:p w:rsidR="00D217A5" w:rsidRPr="003042B1" w:rsidRDefault="00D217A5" w:rsidP="00D217A5">
            <w:r w:rsidRPr="003042B1">
              <w:t>38.6</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Tussen Partijen is een garantietermijn overeengekomen van twaalf (12) maanden. Indien Opdrachtnemer een langere garantietermijn hanteert, geldt deze langere termijn.</w:t>
            </w:r>
          </w:p>
          <w:p w:rsidR="00D217A5" w:rsidRPr="003042B1" w:rsidRDefault="00D217A5" w:rsidP="00D217A5"/>
        </w:tc>
      </w:tr>
      <w:tr w:rsidR="00D217A5" w:rsidRPr="003042B1" w:rsidTr="008D10C2">
        <w:tc>
          <w:tcPr>
            <w:tcW w:w="1838" w:type="dxa"/>
          </w:tcPr>
          <w:p w:rsidR="00D217A5" w:rsidRPr="003042B1" w:rsidRDefault="00D217A5" w:rsidP="00D217A5">
            <w:r w:rsidRPr="003042B1">
              <w:t>38.7</w:t>
            </w:r>
          </w:p>
        </w:tc>
        <w:tc>
          <w:tcPr>
            <w:tcW w:w="2268" w:type="dxa"/>
          </w:tcPr>
          <w:p w:rsidR="00D217A5" w:rsidRPr="003042B1" w:rsidRDefault="00D217A5" w:rsidP="00D217A5">
            <w:r w:rsidRPr="003042B1">
              <w:t>Nieuw lid</w:t>
            </w:r>
          </w:p>
        </w:tc>
        <w:tc>
          <w:tcPr>
            <w:tcW w:w="4956" w:type="dxa"/>
          </w:tcPr>
          <w:p w:rsidR="00D217A5" w:rsidRPr="003042B1" w:rsidRDefault="00D217A5" w:rsidP="00D217A5">
            <w:r w:rsidRPr="003042B1">
              <w:rPr>
                <w:color w:val="000000"/>
                <w:lang w:val="nl-BE" w:eastAsia="nl-BE" w:bidi="nl-BE"/>
              </w:rPr>
              <w:t>Bij gehele of gedeeltelijke vervanging van de geleverde Goederen of verrichte Diensten, begint voor het vervangen deel de hiervoor vermelde garantieperiode opnieuw.</w:t>
            </w:r>
          </w:p>
          <w:p w:rsidR="00D217A5" w:rsidRPr="003042B1" w:rsidRDefault="00D217A5" w:rsidP="00D217A5"/>
        </w:tc>
      </w:tr>
    </w:tbl>
    <w:p w:rsidR="00687D50" w:rsidRPr="0047441E" w:rsidRDefault="00687D50">
      <w:pPr>
        <w:rPr>
          <w:rFonts w:ascii="Arial" w:hAnsi="Arial" w:cs="Arial"/>
          <w:sz w:val="20"/>
          <w:szCs w:val="20"/>
        </w:rPr>
      </w:pPr>
    </w:p>
    <w:sectPr w:rsidR="00687D50" w:rsidRPr="0047441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671" w:rsidRDefault="00310671" w:rsidP="00894DBC">
      <w:pPr>
        <w:spacing w:after="0" w:line="240" w:lineRule="auto"/>
      </w:pPr>
      <w:r>
        <w:separator/>
      </w:r>
    </w:p>
  </w:endnote>
  <w:endnote w:type="continuationSeparator" w:id="0">
    <w:p w:rsidR="00310671" w:rsidRDefault="00310671" w:rsidP="0089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DBC" w:rsidRDefault="00894DBC">
    <w:pPr>
      <w:rPr>
        <w:rFonts w:asciiTheme="majorHAnsi" w:eastAsiaTheme="majorEastAsia" w:hAnsiTheme="majorHAnsi" w:cstheme="majorBidi"/>
        <w:sz w:val="48"/>
        <w:szCs w:val="48"/>
      </w:rPr>
    </w:pPr>
    <w:r w:rsidRPr="00894DBC">
      <w:rPr>
        <w:rFonts w:ascii="Arial" w:hAnsi="Arial" w:cs="Arial"/>
        <w:b/>
        <w:sz w:val="20"/>
        <w:szCs w:val="20"/>
      </w:rPr>
      <w:t>Addendum ICT Inkoopvoorwaarden voor leveringen en diensten Gemeente Amersfoort</w:t>
    </w:r>
    <w:r>
      <w:rPr>
        <w:rFonts w:ascii="Arial" w:hAnsi="Arial" w:cs="Arial"/>
        <w:b/>
        <w:sz w:val="20"/>
        <w:szCs w:val="20"/>
      </w:rPr>
      <w:t xml:space="preserve">          </w:t>
    </w:r>
    <w:sdt>
      <w:sdtPr>
        <w:rPr>
          <w:rFonts w:asciiTheme="majorHAnsi" w:eastAsiaTheme="majorEastAsia" w:hAnsiTheme="majorHAnsi" w:cstheme="majorBidi"/>
          <w:sz w:val="36"/>
          <w:szCs w:val="48"/>
        </w:rPr>
        <w:id w:val="-999964318"/>
      </w:sdtPr>
      <w:sdtEndPr/>
      <w:sdtContent>
        <w:sdt>
          <w:sdtPr>
            <w:rPr>
              <w:rFonts w:asciiTheme="majorHAnsi" w:eastAsiaTheme="majorEastAsia" w:hAnsiTheme="majorHAnsi" w:cstheme="majorBidi"/>
              <w:sz w:val="36"/>
              <w:szCs w:val="48"/>
            </w:rPr>
            <w:id w:val="574478829"/>
          </w:sdtPr>
          <w:sdtEndPr/>
          <w:sdtContent>
            <w:r w:rsidRPr="00894DBC">
              <w:rPr>
                <w:rFonts w:eastAsiaTheme="minorEastAsia" w:cs="Times New Roman"/>
                <w:sz w:val="16"/>
              </w:rPr>
              <w:fldChar w:fldCharType="begin"/>
            </w:r>
            <w:r w:rsidRPr="00894DBC">
              <w:rPr>
                <w:sz w:val="16"/>
              </w:rPr>
              <w:instrText>PAGE   \* MERGEFORMAT</w:instrText>
            </w:r>
            <w:r w:rsidRPr="00894DBC">
              <w:rPr>
                <w:rFonts w:eastAsiaTheme="minorEastAsia" w:cs="Times New Roman"/>
                <w:sz w:val="16"/>
              </w:rPr>
              <w:fldChar w:fldCharType="separate"/>
            </w:r>
            <w:r w:rsidRPr="00894DBC">
              <w:rPr>
                <w:rFonts w:asciiTheme="majorHAnsi" w:eastAsiaTheme="majorEastAsia" w:hAnsiTheme="majorHAnsi" w:cstheme="majorBidi"/>
                <w:sz w:val="36"/>
                <w:szCs w:val="48"/>
              </w:rPr>
              <w:t>1</w:t>
            </w:r>
            <w:r w:rsidRPr="00894DBC">
              <w:rPr>
                <w:rFonts w:asciiTheme="majorHAnsi" w:eastAsiaTheme="majorEastAsia" w:hAnsiTheme="majorHAnsi" w:cstheme="majorBidi"/>
                <w:sz w:val="36"/>
                <w:szCs w:val="48"/>
              </w:rPr>
              <w:fldChar w:fldCharType="end"/>
            </w:r>
          </w:sdtContent>
        </w:sdt>
      </w:sdtContent>
    </w:sdt>
  </w:p>
  <w:p w:rsidR="00894DBC" w:rsidRDefault="00894D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671" w:rsidRDefault="00310671" w:rsidP="00894DBC">
      <w:pPr>
        <w:spacing w:after="0" w:line="240" w:lineRule="auto"/>
      </w:pPr>
      <w:r>
        <w:separator/>
      </w:r>
    </w:p>
  </w:footnote>
  <w:footnote w:type="continuationSeparator" w:id="0">
    <w:p w:rsidR="00310671" w:rsidRDefault="00310671" w:rsidP="00894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DBC" w:rsidRDefault="00894DBC" w:rsidP="00894DBC">
    <w:pPr>
      <w:pStyle w:val="Koptekst"/>
      <w:jc w:val="right"/>
    </w:pPr>
    <w:r>
      <w:rPr>
        <w:noProof/>
      </w:rPr>
      <w:drawing>
        <wp:inline distT="0" distB="0" distL="0" distR="0">
          <wp:extent cx="1007110" cy="675959"/>
          <wp:effectExtent l="0" t="0" r="2540" b="0"/>
          <wp:docPr id="1" name="Afbeelding 1" descr="Afbeelding met tekst&#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25029" cy="687986"/>
                  </a:xfrm>
                  <a:prstGeom prst="rect">
                    <a:avLst/>
                  </a:prstGeom>
                </pic:spPr>
              </pic:pic>
            </a:graphicData>
          </a:graphic>
        </wp:inline>
      </w:drawing>
    </w:r>
  </w:p>
  <w:p w:rsidR="00894DBC" w:rsidRPr="00894DBC" w:rsidRDefault="00894DBC" w:rsidP="00894DBC">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40BB"/>
    <w:multiLevelType w:val="multilevel"/>
    <w:tmpl w:val="0B9E139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nl-BE" w:eastAsia="nl-BE" w:bidi="nl-BE"/>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nl-BE" w:eastAsia="nl-BE" w:bidi="nl-B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4F54B5"/>
    <w:multiLevelType w:val="multilevel"/>
    <w:tmpl w:val="FBEC5AC8"/>
    <w:lvl w:ilvl="0">
      <w:start w:val="1"/>
      <w:numFmt w:val="lowerRoman"/>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nl-BE" w:eastAsia="nl-BE" w:bidi="nl-B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A88611"/>
    <w:multiLevelType w:val="hybridMultilevel"/>
    <w:tmpl w:val="12DCF714"/>
    <w:lvl w:ilvl="0" w:tplc="56E86C02">
      <w:start w:val="1"/>
      <w:numFmt w:val="lowerRoman"/>
      <w:lvlText w:val="%1)"/>
      <w:lvlJc w:val="left"/>
    </w:lvl>
    <w:lvl w:ilvl="1" w:tplc="F9607AD0">
      <w:numFmt w:val="decimal"/>
      <w:lvlText w:val=""/>
      <w:lvlJc w:val="left"/>
    </w:lvl>
    <w:lvl w:ilvl="2" w:tplc="E7DEF384">
      <w:numFmt w:val="decimal"/>
      <w:lvlText w:val=""/>
      <w:lvlJc w:val="left"/>
    </w:lvl>
    <w:lvl w:ilvl="3" w:tplc="975E853C">
      <w:numFmt w:val="decimal"/>
      <w:lvlText w:val=""/>
      <w:lvlJc w:val="left"/>
    </w:lvl>
    <w:lvl w:ilvl="4" w:tplc="CAE08E5A">
      <w:numFmt w:val="decimal"/>
      <w:lvlText w:val=""/>
      <w:lvlJc w:val="left"/>
    </w:lvl>
    <w:lvl w:ilvl="5" w:tplc="A70ABC1E">
      <w:numFmt w:val="decimal"/>
      <w:lvlText w:val=""/>
      <w:lvlJc w:val="left"/>
    </w:lvl>
    <w:lvl w:ilvl="6" w:tplc="60F0590A">
      <w:numFmt w:val="decimal"/>
      <w:lvlText w:val=""/>
      <w:lvlJc w:val="left"/>
    </w:lvl>
    <w:lvl w:ilvl="7" w:tplc="48F8E530">
      <w:numFmt w:val="decimal"/>
      <w:lvlText w:val=""/>
      <w:lvlJc w:val="left"/>
    </w:lvl>
    <w:lvl w:ilvl="8" w:tplc="EE3E4FD0">
      <w:numFmt w:val="decimal"/>
      <w:lvlText w:val=""/>
      <w:lvlJc w:val="left"/>
    </w:lvl>
  </w:abstractNum>
  <w:abstractNum w:abstractNumId="3" w15:restartNumberingAfterBreak="0">
    <w:nsid w:val="35565C1A"/>
    <w:multiLevelType w:val="multilevel"/>
    <w:tmpl w:val="DDCA461A"/>
    <w:lvl w:ilvl="0">
      <w:start w:val="4"/>
      <w:numFmt w:val="decimal"/>
      <w:lvlText w:val="%1."/>
      <w:lvlJc w:val="left"/>
      <w:pPr>
        <w:ind w:left="360" w:hanging="360"/>
      </w:pPr>
      <w:rPr>
        <w:rFonts w:hint="default"/>
        <w:color w:val="000000"/>
      </w:rPr>
    </w:lvl>
    <w:lvl w:ilvl="1">
      <w:start w:val="5"/>
      <w:numFmt w:val="decimal"/>
      <w:lvlText w:val="%1.%2."/>
      <w:lvlJc w:val="left"/>
      <w:pPr>
        <w:ind w:left="820" w:hanging="360"/>
      </w:pPr>
      <w:rPr>
        <w:rFonts w:hint="default"/>
        <w:color w:val="000000"/>
      </w:rPr>
    </w:lvl>
    <w:lvl w:ilvl="2">
      <w:start w:val="1"/>
      <w:numFmt w:val="decimal"/>
      <w:lvlText w:val="%1.%2.%3."/>
      <w:lvlJc w:val="left"/>
      <w:pPr>
        <w:ind w:left="1640" w:hanging="720"/>
      </w:pPr>
      <w:rPr>
        <w:rFonts w:hint="default"/>
        <w:color w:val="000000"/>
      </w:rPr>
    </w:lvl>
    <w:lvl w:ilvl="3">
      <w:start w:val="1"/>
      <w:numFmt w:val="decimal"/>
      <w:lvlText w:val="%1.%2.%3.%4."/>
      <w:lvlJc w:val="left"/>
      <w:pPr>
        <w:ind w:left="2100" w:hanging="720"/>
      </w:pPr>
      <w:rPr>
        <w:rFonts w:hint="default"/>
        <w:color w:val="000000"/>
      </w:rPr>
    </w:lvl>
    <w:lvl w:ilvl="4">
      <w:start w:val="1"/>
      <w:numFmt w:val="decimal"/>
      <w:lvlText w:val="%1.%2.%3.%4.%5."/>
      <w:lvlJc w:val="left"/>
      <w:pPr>
        <w:ind w:left="2920" w:hanging="1080"/>
      </w:pPr>
      <w:rPr>
        <w:rFonts w:hint="default"/>
        <w:color w:val="000000"/>
      </w:rPr>
    </w:lvl>
    <w:lvl w:ilvl="5">
      <w:start w:val="1"/>
      <w:numFmt w:val="decimal"/>
      <w:lvlText w:val="%1.%2.%3.%4.%5.%6."/>
      <w:lvlJc w:val="left"/>
      <w:pPr>
        <w:ind w:left="3380" w:hanging="1080"/>
      </w:pPr>
      <w:rPr>
        <w:rFonts w:hint="default"/>
        <w:color w:val="000000"/>
      </w:rPr>
    </w:lvl>
    <w:lvl w:ilvl="6">
      <w:start w:val="1"/>
      <w:numFmt w:val="decimal"/>
      <w:lvlText w:val="%1.%2.%3.%4.%5.%6.%7."/>
      <w:lvlJc w:val="left"/>
      <w:pPr>
        <w:ind w:left="4200" w:hanging="1440"/>
      </w:pPr>
      <w:rPr>
        <w:rFonts w:hint="default"/>
        <w:color w:val="000000"/>
      </w:rPr>
    </w:lvl>
    <w:lvl w:ilvl="7">
      <w:start w:val="1"/>
      <w:numFmt w:val="decimal"/>
      <w:lvlText w:val="%1.%2.%3.%4.%5.%6.%7.%8."/>
      <w:lvlJc w:val="left"/>
      <w:pPr>
        <w:ind w:left="4660" w:hanging="1440"/>
      </w:pPr>
      <w:rPr>
        <w:rFonts w:hint="default"/>
        <w:color w:val="000000"/>
      </w:rPr>
    </w:lvl>
    <w:lvl w:ilvl="8">
      <w:start w:val="1"/>
      <w:numFmt w:val="decimal"/>
      <w:lvlText w:val="%1.%2.%3.%4.%5.%6.%7.%8.%9."/>
      <w:lvlJc w:val="left"/>
      <w:pPr>
        <w:ind w:left="5480" w:hanging="1800"/>
      </w:pPr>
      <w:rPr>
        <w:rFonts w:hint="default"/>
        <w:color w:val="000000"/>
      </w:rPr>
    </w:lvl>
  </w:abstractNum>
  <w:abstractNum w:abstractNumId="4" w15:restartNumberingAfterBreak="0">
    <w:nsid w:val="595D1D92"/>
    <w:multiLevelType w:val="multilevel"/>
    <w:tmpl w:val="25D014BC"/>
    <w:lvl w:ilvl="0">
      <w:start w:val="33"/>
      <w:numFmt w:val="decimal"/>
      <w:lvlText w:val="%1"/>
      <w:lvlJc w:val="left"/>
      <w:pPr>
        <w:ind w:left="390" w:hanging="390"/>
      </w:pPr>
      <w:rPr>
        <w:rFonts w:hint="default"/>
        <w:color w:val="000000"/>
      </w:rPr>
    </w:lvl>
    <w:lvl w:ilvl="1">
      <w:start w:val="1"/>
      <w:numFmt w:val="decimal"/>
      <w:lvlText w:val="%1.%2"/>
      <w:lvlJc w:val="left"/>
      <w:pPr>
        <w:ind w:left="390" w:hanging="39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59DA56A9"/>
    <w:multiLevelType w:val="multilevel"/>
    <w:tmpl w:val="DDCA461A"/>
    <w:lvl w:ilvl="0">
      <w:start w:val="4"/>
      <w:numFmt w:val="decimal"/>
      <w:lvlText w:val="%1."/>
      <w:lvlJc w:val="left"/>
      <w:pPr>
        <w:ind w:left="360" w:hanging="360"/>
      </w:pPr>
      <w:rPr>
        <w:rFonts w:hint="default"/>
        <w:color w:val="000000"/>
      </w:rPr>
    </w:lvl>
    <w:lvl w:ilvl="1">
      <w:start w:val="5"/>
      <w:numFmt w:val="decimal"/>
      <w:lvlText w:val="%1.%2."/>
      <w:lvlJc w:val="left"/>
      <w:pPr>
        <w:ind w:left="820" w:hanging="360"/>
      </w:pPr>
      <w:rPr>
        <w:rFonts w:hint="default"/>
        <w:color w:val="000000"/>
      </w:rPr>
    </w:lvl>
    <w:lvl w:ilvl="2">
      <w:start w:val="1"/>
      <w:numFmt w:val="decimal"/>
      <w:lvlText w:val="%1.%2.%3."/>
      <w:lvlJc w:val="left"/>
      <w:pPr>
        <w:ind w:left="1640" w:hanging="720"/>
      </w:pPr>
      <w:rPr>
        <w:rFonts w:hint="default"/>
        <w:color w:val="000000"/>
      </w:rPr>
    </w:lvl>
    <w:lvl w:ilvl="3">
      <w:start w:val="1"/>
      <w:numFmt w:val="decimal"/>
      <w:lvlText w:val="%1.%2.%3.%4."/>
      <w:lvlJc w:val="left"/>
      <w:pPr>
        <w:ind w:left="2100" w:hanging="720"/>
      </w:pPr>
      <w:rPr>
        <w:rFonts w:hint="default"/>
        <w:color w:val="000000"/>
      </w:rPr>
    </w:lvl>
    <w:lvl w:ilvl="4">
      <w:start w:val="1"/>
      <w:numFmt w:val="decimal"/>
      <w:lvlText w:val="%1.%2.%3.%4.%5."/>
      <w:lvlJc w:val="left"/>
      <w:pPr>
        <w:ind w:left="2920" w:hanging="1080"/>
      </w:pPr>
      <w:rPr>
        <w:rFonts w:hint="default"/>
        <w:color w:val="000000"/>
      </w:rPr>
    </w:lvl>
    <w:lvl w:ilvl="5">
      <w:start w:val="1"/>
      <w:numFmt w:val="decimal"/>
      <w:lvlText w:val="%1.%2.%3.%4.%5.%6."/>
      <w:lvlJc w:val="left"/>
      <w:pPr>
        <w:ind w:left="3380" w:hanging="1080"/>
      </w:pPr>
      <w:rPr>
        <w:rFonts w:hint="default"/>
        <w:color w:val="000000"/>
      </w:rPr>
    </w:lvl>
    <w:lvl w:ilvl="6">
      <w:start w:val="1"/>
      <w:numFmt w:val="decimal"/>
      <w:lvlText w:val="%1.%2.%3.%4.%5.%6.%7."/>
      <w:lvlJc w:val="left"/>
      <w:pPr>
        <w:ind w:left="4200" w:hanging="1440"/>
      </w:pPr>
      <w:rPr>
        <w:rFonts w:hint="default"/>
        <w:color w:val="000000"/>
      </w:rPr>
    </w:lvl>
    <w:lvl w:ilvl="7">
      <w:start w:val="1"/>
      <w:numFmt w:val="decimal"/>
      <w:lvlText w:val="%1.%2.%3.%4.%5.%6.%7.%8."/>
      <w:lvlJc w:val="left"/>
      <w:pPr>
        <w:ind w:left="4660" w:hanging="1440"/>
      </w:pPr>
      <w:rPr>
        <w:rFonts w:hint="default"/>
        <w:color w:val="000000"/>
      </w:rPr>
    </w:lvl>
    <w:lvl w:ilvl="8">
      <w:start w:val="1"/>
      <w:numFmt w:val="decimal"/>
      <w:lvlText w:val="%1.%2.%3.%4.%5.%6.%7.%8.%9."/>
      <w:lvlJc w:val="left"/>
      <w:pPr>
        <w:ind w:left="5480" w:hanging="1800"/>
      </w:pPr>
      <w:rPr>
        <w:rFonts w:hint="default"/>
        <w:color w:val="000000"/>
      </w:rPr>
    </w:lvl>
  </w:abstractNum>
  <w:abstractNum w:abstractNumId="6" w15:restartNumberingAfterBreak="0">
    <w:nsid w:val="6C7A64E5"/>
    <w:multiLevelType w:val="hybridMultilevel"/>
    <w:tmpl w:val="858CEB2E"/>
    <w:lvl w:ilvl="0" w:tplc="79D4225C">
      <w:start w:val="2"/>
      <w:numFmt w:val="upperLetter"/>
      <w:lvlText w:val="%1."/>
      <w:lvlJc w:val="left"/>
      <w:pPr>
        <w:ind w:left="840" w:hanging="360"/>
      </w:pPr>
      <w:rPr>
        <w:rFonts w:hint="default"/>
        <w:color w:val="000000"/>
      </w:rPr>
    </w:lvl>
    <w:lvl w:ilvl="1" w:tplc="04130019">
      <w:start w:val="1"/>
      <w:numFmt w:val="lowerLetter"/>
      <w:lvlText w:val="%2."/>
      <w:lvlJc w:val="left"/>
      <w:pPr>
        <w:ind w:left="1560" w:hanging="360"/>
      </w:pPr>
    </w:lvl>
    <w:lvl w:ilvl="2" w:tplc="0413001B" w:tentative="1">
      <w:start w:val="1"/>
      <w:numFmt w:val="lowerRoman"/>
      <w:lvlText w:val="%3."/>
      <w:lvlJc w:val="right"/>
      <w:pPr>
        <w:ind w:left="2280" w:hanging="180"/>
      </w:pPr>
    </w:lvl>
    <w:lvl w:ilvl="3" w:tplc="0413000F" w:tentative="1">
      <w:start w:val="1"/>
      <w:numFmt w:val="decimal"/>
      <w:lvlText w:val="%4."/>
      <w:lvlJc w:val="left"/>
      <w:pPr>
        <w:ind w:left="3000" w:hanging="360"/>
      </w:pPr>
    </w:lvl>
    <w:lvl w:ilvl="4" w:tplc="04130019" w:tentative="1">
      <w:start w:val="1"/>
      <w:numFmt w:val="lowerLetter"/>
      <w:lvlText w:val="%5."/>
      <w:lvlJc w:val="left"/>
      <w:pPr>
        <w:ind w:left="3720" w:hanging="360"/>
      </w:pPr>
    </w:lvl>
    <w:lvl w:ilvl="5" w:tplc="0413001B" w:tentative="1">
      <w:start w:val="1"/>
      <w:numFmt w:val="lowerRoman"/>
      <w:lvlText w:val="%6."/>
      <w:lvlJc w:val="right"/>
      <w:pPr>
        <w:ind w:left="4440" w:hanging="180"/>
      </w:pPr>
    </w:lvl>
    <w:lvl w:ilvl="6" w:tplc="0413000F" w:tentative="1">
      <w:start w:val="1"/>
      <w:numFmt w:val="decimal"/>
      <w:lvlText w:val="%7."/>
      <w:lvlJc w:val="left"/>
      <w:pPr>
        <w:ind w:left="5160" w:hanging="360"/>
      </w:pPr>
    </w:lvl>
    <w:lvl w:ilvl="7" w:tplc="04130019" w:tentative="1">
      <w:start w:val="1"/>
      <w:numFmt w:val="lowerLetter"/>
      <w:lvlText w:val="%8."/>
      <w:lvlJc w:val="left"/>
      <w:pPr>
        <w:ind w:left="5880" w:hanging="360"/>
      </w:pPr>
    </w:lvl>
    <w:lvl w:ilvl="8" w:tplc="0413001B" w:tentative="1">
      <w:start w:val="1"/>
      <w:numFmt w:val="lowerRoman"/>
      <w:lvlText w:val="%9."/>
      <w:lvlJc w:val="right"/>
      <w:pPr>
        <w:ind w:left="6600" w:hanging="180"/>
      </w:pPr>
    </w:lvl>
  </w:abstractNum>
  <w:abstractNum w:abstractNumId="7" w15:restartNumberingAfterBreak="0">
    <w:nsid w:val="76265C19"/>
    <w:multiLevelType w:val="multilevel"/>
    <w:tmpl w:val="D90E666C"/>
    <w:lvl w:ilvl="0">
      <w:start w:val="3"/>
      <w:numFmt w:val="decimal"/>
      <w:lvlText w:val="%1."/>
      <w:lvlJc w:val="left"/>
      <w:pPr>
        <w:ind w:left="360" w:hanging="360"/>
      </w:pPr>
      <w:rPr>
        <w:rFonts w:hint="default"/>
        <w:color w:val="000000"/>
      </w:rPr>
    </w:lvl>
    <w:lvl w:ilvl="1">
      <w:start w:val="9"/>
      <w:numFmt w:val="decimal"/>
      <w:lvlText w:val="%1.%2."/>
      <w:lvlJc w:val="left"/>
      <w:pPr>
        <w:ind w:left="840" w:hanging="360"/>
      </w:pPr>
      <w:rPr>
        <w:rFonts w:hint="default"/>
        <w:color w:val="000000"/>
      </w:rPr>
    </w:lvl>
    <w:lvl w:ilvl="2">
      <w:start w:val="1"/>
      <w:numFmt w:val="decimal"/>
      <w:lvlText w:val="%1.%2.%3."/>
      <w:lvlJc w:val="left"/>
      <w:pPr>
        <w:ind w:left="1680" w:hanging="720"/>
      </w:pPr>
      <w:rPr>
        <w:rFonts w:hint="default"/>
        <w:color w:val="000000"/>
      </w:rPr>
    </w:lvl>
    <w:lvl w:ilvl="3">
      <w:start w:val="1"/>
      <w:numFmt w:val="decimal"/>
      <w:lvlText w:val="%1.%2.%3.%4."/>
      <w:lvlJc w:val="left"/>
      <w:pPr>
        <w:ind w:left="2160" w:hanging="720"/>
      </w:pPr>
      <w:rPr>
        <w:rFonts w:hint="default"/>
        <w:color w:val="000000"/>
      </w:rPr>
    </w:lvl>
    <w:lvl w:ilvl="4">
      <w:start w:val="1"/>
      <w:numFmt w:val="decimal"/>
      <w:lvlText w:val="%1.%2.%3.%4.%5."/>
      <w:lvlJc w:val="left"/>
      <w:pPr>
        <w:ind w:left="3000" w:hanging="1080"/>
      </w:pPr>
      <w:rPr>
        <w:rFonts w:hint="default"/>
        <w:color w:val="000000"/>
      </w:rPr>
    </w:lvl>
    <w:lvl w:ilvl="5">
      <w:start w:val="1"/>
      <w:numFmt w:val="decimal"/>
      <w:lvlText w:val="%1.%2.%3.%4.%5.%6."/>
      <w:lvlJc w:val="left"/>
      <w:pPr>
        <w:ind w:left="3480" w:hanging="1080"/>
      </w:pPr>
      <w:rPr>
        <w:rFonts w:hint="default"/>
        <w:color w:val="000000"/>
      </w:rPr>
    </w:lvl>
    <w:lvl w:ilvl="6">
      <w:start w:val="1"/>
      <w:numFmt w:val="decimal"/>
      <w:lvlText w:val="%1.%2.%3.%4.%5.%6.%7."/>
      <w:lvlJc w:val="left"/>
      <w:pPr>
        <w:ind w:left="4320" w:hanging="1440"/>
      </w:pPr>
      <w:rPr>
        <w:rFonts w:hint="default"/>
        <w:color w:val="000000"/>
      </w:rPr>
    </w:lvl>
    <w:lvl w:ilvl="7">
      <w:start w:val="1"/>
      <w:numFmt w:val="decimal"/>
      <w:lvlText w:val="%1.%2.%3.%4.%5.%6.%7.%8."/>
      <w:lvlJc w:val="left"/>
      <w:pPr>
        <w:ind w:left="4800" w:hanging="1440"/>
      </w:pPr>
      <w:rPr>
        <w:rFonts w:hint="default"/>
        <w:color w:val="000000"/>
      </w:rPr>
    </w:lvl>
    <w:lvl w:ilvl="8">
      <w:start w:val="1"/>
      <w:numFmt w:val="decimal"/>
      <w:lvlText w:val="%1.%2.%3.%4.%5.%6.%7.%8.%9."/>
      <w:lvlJc w:val="left"/>
      <w:pPr>
        <w:ind w:left="5640" w:hanging="1800"/>
      </w:pPr>
      <w:rPr>
        <w:rFonts w:hint="default"/>
        <w:color w:val="000000"/>
      </w:rPr>
    </w:lvl>
  </w:abstractNum>
  <w:num w:numId="1">
    <w:abstractNumId w:val="2"/>
  </w:num>
  <w:num w:numId="2">
    <w:abstractNumId w:val="7"/>
  </w:num>
  <w:num w:numId="3">
    <w:abstractNumId w:val="3"/>
  </w:num>
  <w:num w:numId="4">
    <w:abstractNumId w:val="5"/>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50"/>
    <w:rsid w:val="00027890"/>
    <w:rsid w:val="00075E83"/>
    <w:rsid w:val="000A2D16"/>
    <w:rsid w:val="00120775"/>
    <w:rsid w:val="001F3A06"/>
    <w:rsid w:val="003042B1"/>
    <w:rsid w:val="00310671"/>
    <w:rsid w:val="003558DE"/>
    <w:rsid w:val="003C5E23"/>
    <w:rsid w:val="0047441E"/>
    <w:rsid w:val="006124B4"/>
    <w:rsid w:val="00687D50"/>
    <w:rsid w:val="006A16D8"/>
    <w:rsid w:val="007237A3"/>
    <w:rsid w:val="0074489F"/>
    <w:rsid w:val="0079455B"/>
    <w:rsid w:val="007C0645"/>
    <w:rsid w:val="00894DBC"/>
    <w:rsid w:val="008D10C2"/>
    <w:rsid w:val="00984B1F"/>
    <w:rsid w:val="009A43DD"/>
    <w:rsid w:val="009A5867"/>
    <w:rsid w:val="00A05C5F"/>
    <w:rsid w:val="00A42AAF"/>
    <w:rsid w:val="00AF2BC4"/>
    <w:rsid w:val="00D217A5"/>
    <w:rsid w:val="00D54956"/>
    <w:rsid w:val="00D76C73"/>
    <w:rsid w:val="00EE6FC3"/>
    <w:rsid w:val="00F63584"/>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08A90D-F8A3-475A-A147-FBA5D2B1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84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Standaardalinea-lettertype"/>
    <w:link w:val="Bodytext20"/>
    <w:rsid w:val="00D76C73"/>
    <w:rPr>
      <w:rFonts w:ascii="Trebuchet MS" w:eastAsia="Trebuchet MS" w:hAnsi="Trebuchet MS" w:cs="Trebuchet MS"/>
      <w:sz w:val="20"/>
      <w:szCs w:val="20"/>
      <w:shd w:val="clear" w:color="auto" w:fill="FFFFFF"/>
    </w:rPr>
  </w:style>
  <w:style w:type="paragraph" w:customStyle="1" w:styleId="Bodytext20">
    <w:name w:val="Body text (2)"/>
    <w:basedOn w:val="Standaard"/>
    <w:link w:val="Bodytext2"/>
    <w:rsid w:val="00D76C73"/>
    <w:pPr>
      <w:widowControl w:val="0"/>
      <w:shd w:val="clear" w:color="auto" w:fill="FFFFFF"/>
      <w:spacing w:after="0" w:line="250" w:lineRule="exact"/>
      <w:ind w:hanging="480"/>
      <w:jc w:val="both"/>
    </w:pPr>
    <w:rPr>
      <w:rFonts w:ascii="Trebuchet MS" w:eastAsia="Trebuchet MS" w:hAnsi="Trebuchet MS" w:cs="Trebuchet MS"/>
      <w:sz w:val="20"/>
      <w:szCs w:val="20"/>
    </w:rPr>
  </w:style>
  <w:style w:type="paragraph" w:styleId="Lijstalinea">
    <w:name w:val="List Paragraph"/>
    <w:basedOn w:val="Standaard"/>
    <w:uiPriority w:val="34"/>
    <w:qFormat/>
    <w:rsid w:val="00EE6FC3"/>
    <w:pPr>
      <w:spacing w:after="0" w:line="240" w:lineRule="auto"/>
      <w:ind w:left="720"/>
      <w:contextualSpacing/>
    </w:pPr>
    <w:rPr>
      <w:rFonts w:ascii="Times New Roman" w:eastAsiaTheme="minorEastAsia" w:hAnsi="Times New Roman" w:cs="Times New Roman"/>
      <w:lang w:eastAsia="nl-NL"/>
    </w:rPr>
  </w:style>
  <w:style w:type="character" w:styleId="Hyperlink">
    <w:name w:val="Hyperlink"/>
    <w:basedOn w:val="Standaardalinea-lettertype"/>
    <w:rsid w:val="00EE6FC3"/>
    <w:rPr>
      <w:color w:val="0066CC"/>
      <w:u w:val="single"/>
    </w:rPr>
  </w:style>
  <w:style w:type="paragraph" w:styleId="Koptekst">
    <w:name w:val="header"/>
    <w:basedOn w:val="Standaard"/>
    <w:link w:val="KoptekstChar"/>
    <w:uiPriority w:val="99"/>
    <w:unhideWhenUsed/>
    <w:rsid w:val="00894D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4DBC"/>
  </w:style>
  <w:style w:type="paragraph" w:styleId="Voettekst">
    <w:name w:val="footer"/>
    <w:basedOn w:val="Standaard"/>
    <w:link w:val="VoettekstChar"/>
    <w:uiPriority w:val="99"/>
    <w:unhideWhenUsed/>
    <w:rsid w:val="00894D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4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ur@amersfoor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3564A-3C8B-4EE6-B8BA-D578362C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11306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Groeneveld</dc:creator>
  <cp:keywords/>
  <dc:description/>
  <cp:lastModifiedBy>Kees Groeneveld</cp:lastModifiedBy>
  <cp:revision>2</cp:revision>
  <dcterms:created xsi:type="dcterms:W3CDTF">2018-06-25T07:43:00Z</dcterms:created>
  <dcterms:modified xsi:type="dcterms:W3CDTF">2018-06-25T07:43:00Z</dcterms:modified>
</cp:coreProperties>
</file>